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A418" w14:textId="7A8424D0" w:rsidR="00DF5A27" w:rsidRPr="002E5F6B" w:rsidRDefault="00DF5A27" w:rsidP="00DF5A27">
      <w:pPr>
        <w:rPr>
          <w:rStyle w:val="Sterk"/>
          <w:color w:val="000000" w:themeColor="text1"/>
          <w:sz w:val="32"/>
          <w:szCs w:val="32"/>
          <w:lang w:val="en-GB"/>
        </w:rPr>
      </w:pPr>
      <w:r w:rsidRPr="002E5F6B">
        <w:rPr>
          <w:rStyle w:val="Sterk"/>
          <w:color w:val="000000" w:themeColor="text1"/>
          <w:sz w:val="32"/>
          <w:szCs w:val="32"/>
          <w:lang w:val="en-GB"/>
        </w:rPr>
        <w:t>Academics unite for safe and inclusive quality higher education</w:t>
      </w:r>
    </w:p>
    <w:p w14:paraId="64FB1E02" w14:textId="77777777" w:rsidR="00DF5A27" w:rsidRPr="002E5F6B" w:rsidRDefault="00DF5A27" w:rsidP="00DF5A27">
      <w:pPr>
        <w:jc w:val="center"/>
        <w:rPr>
          <w:rStyle w:val="Sterk"/>
          <w:b w:val="0"/>
          <w:bCs w:val="0"/>
          <w:color w:val="000000" w:themeColor="text1"/>
          <w:sz w:val="32"/>
          <w:szCs w:val="32"/>
          <w:lang w:val="en-GB"/>
        </w:rPr>
      </w:pPr>
    </w:p>
    <w:p w14:paraId="10BB2525" w14:textId="4B54FE8E" w:rsidR="00DF5A27" w:rsidRPr="002E5F6B" w:rsidRDefault="00DF5A27" w:rsidP="00DF5A27">
      <w:pPr>
        <w:jc w:val="center"/>
        <w:rPr>
          <w:rStyle w:val="Sterk"/>
          <w:b w:val="0"/>
          <w:bCs w:val="0"/>
          <w:sz w:val="32"/>
          <w:szCs w:val="32"/>
          <w:lang w:val="en-GB"/>
        </w:rPr>
      </w:pPr>
      <w:r w:rsidRPr="002E5F6B">
        <w:rPr>
          <w:rStyle w:val="Sterk"/>
          <w:b w:val="0"/>
          <w:bCs w:val="0"/>
          <w:sz w:val="32"/>
          <w:szCs w:val="32"/>
          <w:lang w:val="en-GB"/>
        </w:rPr>
        <w:t>Call to Ministers of the Bologna Process</w:t>
      </w:r>
    </w:p>
    <w:p w14:paraId="768CBDED" w14:textId="77777777" w:rsidR="00DF5A27" w:rsidRPr="002E5F6B" w:rsidRDefault="00DF5A27" w:rsidP="00DF5A27">
      <w:pPr>
        <w:jc w:val="center"/>
        <w:rPr>
          <w:rStyle w:val="Sterk"/>
          <w:b w:val="0"/>
          <w:bCs w:val="0"/>
          <w:sz w:val="32"/>
          <w:szCs w:val="32"/>
          <w:lang w:val="en-GB"/>
        </w:rPr>
      </w:pPr>
      <w:r w:rsidRPr="002E5F6B">
        <w:rPr>
          <w:rStyle w:val="Sterk"/>
          <w:b w:val="0"/>
          <w:bCs w:val="0"/>
          <w:sz w:val="32"/>
          <w:szCs w:val="32"/>
          <w:lang w:val="en-GB"/>
        </w:rPr>
        <w:t>For the Iasi-Chisinau Ministerial Conference, May 2027</w:t>
      </w:r>
    </w:p>
    <w:p w14:paraId="105F23DD" w14:textId="77777777" w:rsidR="00DF5A27" w:rsidRPr="00DB0668" w:rsidRDefault="00DF5A27" w:rsidP="00DF5A27">
      <w:pPr>
        <w:jc w:val="center"/>
        <w:rPr>
          <w:rStyle w:val="Sterk"/>
          <w:b w:val="0"/>
          <w:bCs w:val="0"/>
          <w:sz w:val="24"/>
          <w:szCs w:val="24"/>
          <w:lang w:val="en-GB"/>
        </w:rPr>
      </w:pPr>
    </w:p>
    <w:p w14:paraId="2CEF8504" w14:textId="5154758E" w:rsidR="00DF5A27" w:rsidRPr="00DB0668" w:rsidRDefault="00DF5A27" w:rsidP="00DF5A27">
      <w:pPr>
        <w:jc w:val="center"/>
        <w:rPr>
          <w:rStyle w:val="Sterk"/>
          <w:b w:val="0"/>
          <w:bCs w:val="0"/>
          <w:sz w:val="24"/>
          <w:szCs w:val="24"/>
          <w:lang w:val="en-GB"/>
        </w:rPr>
      </w:pPr>
    </w:p>
    <w:p w14:paraId="7BCEB8FA" w14:textId="77777777" w:rsidR="00DF5A27" w:rsidRDefault="00DF5A27" w:rsidP="00DF5A27">
      <w:pPr>
        <w:jc w:val="both"/>
        <w:rPr>
          <w:rStyle w:val="Sterk"/>
          <w:sz w:val="32"/>
          <w:szCs w:val="32"/>
          <w:lang w:val="en-GB"/>
        </w:rPr>
      </w:pPr>
    </w:p>
    <w:p w14:paraId="449B3672" w14:textId="53A7D726" w:rsidR="00DF5A27" w:rsidRPr="007B14F5" w:rsidRDefault="00DF5A27" w:rsidP="00DF5A27">
      <w:pPr>
        <w:jc w:val="both"/>
        <w:rPr>
          <w:lang w:val="en-GB"/>
        </w:rPr>
      </w:pPr>
      <w:r w:rsidRPr="00DF5A27">
        <w:rPr>
          <w:rStyle w:val="Sterk"/>
          <w:b w:val="0"/>
          <w:bCs w:val="0"/>
          <w:lang w:val="en-GB"/>
        </w:rPr>
        <w:t xml:space="preserve">The European Trade Union Committee for Education (ETUCE) is a federation of 120 education trade unions in 48 countries, representing in total 4,9 million members all over Europe, including academics and researchers. </w:t>
      </w:r>
      <w:r w:rsidRPr="007B14F5">
        <w:rPr>
          <w:lang w:val="en-GB"/>
        </w:rPr>
        <w:t xml:space="preserve">It is the European Region of Education International. ETUCE is a consultative member of the Bologna Follow-Up Group of the </w:t>
      </w:r>
      <w:hyperlink r:id="rId11" w:history="1">
        <w:r w:rsidRPr="007B14F5">
          <w:rPr>
            <w:rStyle w:val="Hyperkobling"/>
            <w:lang w:val="en-GB"/>
          </w:rPr>
          <w:t>European Higher Education Area of the Bologna Process countries</w:t>
        </w:r>
      </w:hyperlink>
      <w:r w:rsidRPr="007B14F5">
        <w:rPr>
          <w:lang w:val="en-GB"/>
        </w:rPr>
        <w:t xml:space="preserve">. </w:t>
      </w:r>
      <w:r w:rsidR="008D2D01" w:rsidRPr="007B14F5">
        <w:rPr>
          <w:lang w:val="en-GB"/>
        </w:rPr>
        <w:t xml:space="preserve">This Call was adopted </w:t>
      </w:r>
      <w:r w:rsidR="00AB2588" w:rsidRPr="007B14F5">
        <w:rPr>
          <w:lang w:val="en-GB"/>
        </w:rPr>
        <w:t xml:space="preserve">on 5 March 2026 </w:t>
      </w:r>
      <w:r w:rsidR="008D2D01" w:rsidRPr="007B14F5">
        <w:rPr>
          <w:lang w:val="en-GB"/>
        </w:rPr>
        <w:t xml:space="preserve">by </w:t>
      </w:r>
      <w:r w:rsidR="008D2D01" w:rsidRPr="007B14F5">
        <w:rPr>
          <w:i/>
          <w:iCs/>
          <w:lang w:val="en-GB"/>
        </w:rPr>
        <w:t>ETUCE Higher Education and Research Standing Committee (HERSC)</w:t>
      </w:r>
      <w:r w:rsidR="008D2D01" w:rsidRPr="007B14F5">
        <w:rPr>
          <w:lang w:val="en-GB"/>
        </w:rPr>
        <w:t>, wh</w:t>
      </w:r>
      <w:r w:rsidR="00AB2588" w:rsidRPr="007B14F5">
        <w:rPr>
          <w:lang w:val="en-GB"/>
        </w:rPr>
        <w:t>ic</w:t>
      </w:r>
      <w:r w:rsidR="008D2D01" w:rsidRPr="007B14F5">
        <w:rPr>
          <w:lang w:val="en-GB"/>
        </w:rPr>
        <w:t>h represents 36 trade unions of higher education and research sector.</w:t>
      </w:r>
    </w:p>
    <w:p w14:paraId="24C90753" w14:textId="77777777" w:rsidR="004828EB" w:rsidRPr="007B14F5" w:rsidRDefault="004828EB" w:rsidP="00DF5A27">
      <w:pPr>
        <w:jc w:val="both"/>
        <w:rPr>
          <w:lang w:val="en-GB"/>
        </w:rPr>
      </w:pPr>
    </w:p>
    <w:p w14:paraId="2B06BA97" w14:textId="68B717AD" w:rsidR="004828EB" w:rsidRPr="0054470D" w:rsidRDefault="007B14F5" w:rsidP="004828EB">
      <w:pPr>
        <w:rPr>
          <w:lang w:val="en-GB"/>
        </w:rPr>
      </w:pPr>
      <w:r w:rsidRPr="0054470D">
        <w:rPr>
          <w:lang w:val="en-GB"/>
        </w:rPr>
        <w:t xml:space="preserve">The </w:t>
      </w:r>
      <w:r w:rsidR="004F4FF0">
        <w:rPr>
          <w:lang w:val="en-GB"/>
        </w:rPr>
        <w:t>Union of Education Norway</w:t>
      </w:r>
      <w:r w:rsidRPr="0054470D">
        <w:rPr>
          <w:lang w:val="en-GB"/>
        </w:rPr>
        <w:t xml:space="preserve"> (</w:t>
      </w:r>
      <w:r w:rsidR="008D786F">
        <w:rPr>
          <w:lang w:val="en-GB"/>
        </w:rPr>
        <w:t>UEN</w:t>
      </w:r>
      <w:r w:rsidRPr="0054470D">
        <w:rPr>
          <w:lang w:val="en-GB"/>
        </w:rPr>
        <w:t xml:space="preserve">) </w:t>
      </w:r>
      <w:r w:rsidR="004828EB" w:rsidRPr="0054470D">
        <w:rPr>
          <w:lang w:val="en-GB"/>
        </w:rPr>
        <w:t xml:space="preserve">is a member of ETUCE and represent </w:t>
      </w:r>
      <w:r w:rsidR="008D786F">
        <w:rPr>
          <w:lang w:val="en-GB"/>
        </w:rPr>
        <w:t>190 000</w:t>
      </w:r>
      <w:r w:rsidR="004828EB" w:rsidRPr="0054470D">
        <w:rPr>
          <w:lang w:val="en-GB"/>
        </w:rPr>
        <w:t xml:space="preserve"> </w:t>
      </w:r>
      <w:r w:rsidR="00786E4D" w:rsidRPr="0054470D">
        <w:rPr>
          <w:lang w:val="en-GB"/>
        </w:rPr>
        <w:t>teachers</w:t>
      </w:r>
      <w:r w:rsidR="004039C2">
        <w:rPr>
          <w:lang w:val="en-GB"/>
        </w:rPr>
        <w:t xml:space="preserve"> </w:t>
      </w:r>
      <w:r w:rsidR="0053312D">
        <w:rPr>
          <w:lang w:val="en-GB"/>
        </w:rPr>
        <w:t xml:space="preserve">and leaders </w:t>
      </w:r>
      <w:r w:rsidR="004039C2">
        <w:rPr>
          <w:lang w:val="en-GB"/>
        </w:rPr>
        <w:t xml:space="preserve">in </w:t>
      </w:r>
      <w:proofErr w:type="spellStart"/>
      <w:r w:rsidR="004039C2">
        <w:rPr>
          <w:lang w:val="en-GB"/>
        </w:rPr>
        <w:t>kindergardens</w:t>
      </w:r>
      <w:proofErr w:type="spellEnd"/>
      <w:r w:rsidR="0053312D">
        <w:rPr>
          <w:lang w:val="en-GB"/>
        </w:rPr>
        <w:t xml:space="preserve">, schools and higher education. </w:t>
      </w:r>
      <w:r w:rsidR="00941C08">
        <w:rPr>
          <w:lang w:val="en-GB"/>
        </w:rPr>
        <w:t xml:space="preserve">Our membership comprises </w:t>
      </w:r>
      <w:r w:rsidR="000746A2">
        <w:rPr>
          <w:lang w:val="en-GB"/>
        </w:rPr>
        <w:t xml:space="preserve">about </w:t>
      </w:r>
      <w:r w:rsidR="00BB3552">
        <w:rPr>
          <w:lang w:val="en-GB"/>
        </w:rPr>
        <w:t xml:space="preserve">1500 </w:t>
      </w:r>
      <w:r w:rsidR="00645404">
        <w:rPr>
          <w:lang w:val="en-GB"/>
        </w:rPr>
        <w:t xml:space="preserve">teachers </w:t>
      </w:r>
      <w:r w:rsidR="00786E4D" w:rsidRPr="0054470D">
        <w:rPr>
          <w:lang w:val="en-GB"/>
        </w:rPr>
        <w:t xml:space="preserve">and other staff members in </w:t>
      </w:r>
      <w:r w:rsidR="004828EB" w:rsidRPr="0054470D">
        <w:rPr>
          <w:lang w:val="en-GB"/>
        </w:rPr>
        <w:t xml:space="preserve">the higher education and research sectors. </w:t>
      </w:r>
    </w:p>
    <w:p w14:paraId="45F8ABB1" w14:textId="77777777" w:rsidR="00786E4D" w:rsidRDefault="00786E4D" w:rsidP="004828EB">
      <w:pPr>
        <w:rPr>
          <w:u w:val="single"/>
          <w:lang w:val="en-GB"/>
        </w:rPr>
      </w:pPr>
    </w:p>
    <w:p w14:paraId="32B9FF9A" w14:textId="77777777" w:rsidR="00BD1FF3" w:rsidRPr="00BD1FF3" w:rsidRDefault="00BD1FF3" w:rsidP="00BD1FF3">
      <w:pPr>
        <w:jc w:val="both"/>
        <w:rPr>
          <w:b/>
          <w:bCs/>
          <w:lang w:val="en-GB"/>
        </w:rPr>
      </w:pPr>
      <w:r w:rsidRPr="00BD1FF3">
        <w:rPr>
          <w:rStyle w:val="Sterk"/>
          <w:b w:val="0"/>
          <w:bCs w:val="0"/>
          <w:lang w:val="en-GB"/>
        </w:rPr>
        <w:t xml:space="preserve">Since the Tirana Ministerial Conference in May 2024, we have seen growing threats to the core values and goals of the European Higher Education Area (EHEA). Higher education and research are key to social, cultural, economic, and political development. We know that major societal and climatic challenges elevate the importance of collaboration and the sharing of knowledge. However, austerity, authoritarianism, and automation are </w:t>
      </w:r>
      <w:r w:rsidRPr="00BD1FF3">
        <w:rPr>
          <w:rStyle w:val="Sterk"/>
          <w:b w:val="0"/>
          <w:bCs w:val="0"/>
          <w:color w:val="000000" w:themeColor="text1"/>
          <w:lang w:val="en-GB"/>
        </w:rPr>
        <w:t>increasingly threatening the EHEA</w:t>
      </w:r>
      <w:r w:rsidRPr="00BD1FF3">
        <w:rPr>
          <w:rStyle w:val="Sterk"/>
          <w:b w:val="0"/>
          <w:bCs w:val="0"/>
          <w:lang w:val="en-GB"/>
        </w:rPr>
        <w:t xml:space="preserve">, higher education and research personnel, and the essential quality of higher education. </w:t>
      </w:r>
    </w:p>
    <w:p w14:paraId="248F84F3" w14:textId="77777777" w:rsidR="00BD1FF3" w:rsidRPr="008F2A82" w:rsidRDefault="00BD1FF3" w:rsidP="00BD1FF3">
      <w:pPr>
        <w:jc w:val="both"/>
        <w:rPr>
          <w:lang w:val="en-GB"/>
        </w:rPr>
      </w:pPr>
    </w:p>
    <w:p w14:paraId="30EC1520" w14:textId="77777777" w:rsidR="00BD1FF3" w:rsidRPr="008F2A82" w:rsidRDefault="00BD1FF3" w:rsidP="00BD1FF3">
      <w:pPr>
        <w:jc w:val="both"/>
        <w:rPr>
          <w:lang w:val="en-GB"/>
        </w:rPr>
      </w:pPr>
      <w:r w:rsidRPr="008F2A82">
        <w:rPr>
          <w:lang w:val="en-GB"/>
        </w:rPr>
        <w:t>Societal and political polarisation and the emergence of authoritarian regimes and governance have contributed to attacks on higher education institutions, researchers, and teachers in many countries. Academic freedom and institutional autonomy are vital pillars of strong democracies and social development, enabling freedom of expression, open and critical discussions, mutual trust and sustainable development. This is now under attack. There is growing evidence that artificial intelligence (AI) is having a disruptive impact on academic work and student learning. While offering new opportunities, there is a severe risk of lower quality and an increasing mistrust in science and knowledge due to AI and the digital transformation in general.</w:t>
      </w:r>
    </w:p>
    <w:p w14:paraId="6BF344F7" w14:textId="77777777" w:rsidR="00BD1FF3" w:rsidRPr="00BD1FF3" w:rsidRDefault="00BD1FF3" w:rsidP="00BD1FF3">
      <w:pPr>
        <w:jc w:val="both"/>
        <w:rPr>
          <w:rStyle w:val="Sterk"/>
          <w:b w:val="0"/>
          <w:bCs w:val="0"/>
          <w:lang w:val="en-GB"/>
        </w:rPr>
      </w:pPr>
    </w:p>
    <w:p w14:paraId="6EA9977C" w14:textId="77777777" w:rsidR="00BD1FF3" w:rsidRPr="00BD1FF3" w:rsidRDefault="00BD1FF3" w:rsidP="00BD1FF3">
      <w:pPr>
        <w:jc w:val="both"/>
        <w:rPr>
          <w:rStyle w:val="Sterk"/>
          <w:b w:val="0"/>
          <w:bCs w:val="0"/>
          <w:lang w:val="en-GB"/>
        </w:rPr>
      </w:pPr>
      <w:r w:rsidRPr="00BD1FF3">
        <w:rPr>
          <w:rStyle w:val="Sterk"/>
          <w:b w:val="0"/>
          <w:bCs w:val="0"/>
          <w:lang w:val="en-GB"/>
        </w:rPr>
        <w:t>Attacks on institutional autonomy, on academic freedom, on staff and students are not acceptable. Member organisations of the European Trade Union Committee for Education (ETUCE) which represents staff in the higher education and research sector in 49 countries, call for our higher education institutions to be safe and inclusive spaces for quality education and research - places where knowledge can flourish and ideas flow freely among staff and students regardless of their nationality</w:t>
      </w:r>
      <w:r w:rsidRPr="00BD1FF3">
        <w:rPr>
          <w:rStyle w:val="Sterk"/>
          <w:b w:val="0"/>
          <w:bCs w:val="0"/>
          <w:color w:val="000000" w:themeColor="text1"/>
          <w:lang w:val="en-GB"/>
        </w:rPr>
        <w:t>, ethnicity, religion</w:t>
      </w:r>
      <w:r w:rsidRPr="00BD1FF3">
        <w:rPr>
          <w:rStyle w:val="Sterk"/>
          <w:b w:val="0"/>
          <w:bCs w:val="0"/>
          <w:lang w:val="en-GB"/>
        </w:rPr>
        <w:t>, age, disability, sexual orientation, or their cultural and socio-</w:t>
      </w:r>
      <w:r w:rsidRPr="00BD1FF3">
        <w:rPr>
          <w:rStyle w:val="Sterk"/>
          <w:b w:val="0"/>
          <w:bCs w:val="0"/>
          <w:lang w:val="en-GB"/>
        </w:rPr>
        <w:lastRenderedPageBreak/>
        <w:t xml:space="preserve">economic background. This is vital to uphold democracy and equality and to build bridges across borders. </w:t>
      </w:r>
    </w:p>
    <w:p w14:paraId="7B2575A4" w14:textId="77777777" w:rsidR="00BD1FF3" w:rsidRPr="00BD1FF3" w:rsidRDefault="00BD1FF3" w:rsidP="00BD1FF3">
      <w:pPr>
        <w:jc w:val="both"/>
        <w:rPr>
          <w:rStyle w:val="Sterk"/>
          <w:b w:val="0"/>
          <w:bCs w:val="0"/>
          <w:lang w:val="en-GB"/>
        </w:rPr>
      </w:pPr>
      <w:r w:rsidRPr="00BD1FF3">
        <w:rPr>
          <w:rStyle w:val="Sterk"/>
          <w:b w:val="0"/>
          <w:bCs w:val="0"/>
          <w:lang w:val="en-GB"/>
        </w:rPr>
        <w:t xml:space="preserve"> </w:t>
      </w:r>
    </w:p>
    <w:p w14:paraId="671F0FAF" w14:textId="77777777" w:rsidR="00BD1FF3" w:rsidRPr="00BD1FF3" w:rsidRDefault="00BD1FF3" w:rsidP="00BD1FF3">
      <w:pPr>
        <w:jc w:val="both"/>
        <w:rPr>
          <w:rStyle w:val="Sterk"/>
          <w:b w:val="0"/>
          <w:bCs w:val="0"/>
          <w:lang w:val="en-GB"/>
        </w:rPr>
      </w:pPr>
      <w:r w:rsidRPr="00BD1FF3">
        <w:rPr>
          <w:rStyle w:val="Sterk"/>
          <w:b w:val="0"/>
          <w:bCs w:val="0"/>
          <w:lang w:val="en-GB"/>
        </w:rPr>
        <w:t xml:space="preserve">We reaffirm the objective of the </w:t>
      </w:r>
      <w:hyperlink r:id="rId12" w:history="1">
        <w:r w:rsidRPr="00BD1FF3">
          <w:rPr>
            <w:rStyle w:val="Hyperkobling"/>
            <w:b/>
            <w:bCs/>
            <w:lang w:val="en-GB"/>
          </w:rPr>
          <w:t>Rome Communique</w:t>
        </w:r>
      </w:hyperlink>
      <w:r w:rsidRPr="00BD1FF3">
        <w:rPr>
          <w:rStyle w:val="Sterk"/>
          <w:b w:val="0"/>
          <w:bCs w:val="0"/>
          <w:lang w:val="en-GB"/>
        </w:rPr>
        <w:t xml:space="preserve">: to build a more inclusive, innovative, interconnected, and resilient EHEA. Governments and higher education institutions must enable and support every student to progress to the best of their ability by equipping them with the knowledge, competence, skills, and </w:t>
      </w:r>
      <w:proofErr w:type="gramStart"/>
      <w:r w:rsidRPr="00BD1FF3">
        <w:rPr>
          <w:rStyle w:val="Sterk"/>
          <w:b w:val="0"/>
          <w:bCs w:val="0"/>
          <w:lang w:val="en-GB"/>
        </w:rPr>
        <w:t>attitudes  needed</w:t>
      </w:r>
      <w:proofErr w:type="gramEnd"/>
      <w:r w:rsidRPr="00BD1FF3">
        <w:rPr>
          <w:rStyle w:val="Sterk"/>
          <w:b w:val="0"/>
          <w:bCs w:val="0"/>
          <w:lang w:val="en-GB"/>
        </w:rPr>
        <w:t xml:space="preserve"> for active citizenship in a rapidly changing society. </w:t>
      </w:r>
    </w:p>
    <w:p w14:paraId="2DA99733" w14:textId="77777777" w:rsidR="00BD1FF3" w:rsidRPr="00BD1FF3" w:rsidRDefault="00BD1FF3" w:rsidP="00BD1FF3">
      <w:pPr>
        <w:jc w:val="both"/>
        <w:rPr>
          <w:rStyle w:val="Sterk"/>
          <w:b w:val="0"/>
          <w:bCs w:val="0"/>
          <w:lang w:val="en-GB"/>
        </w:rPr>
      </w:pPr>
    </w:p>
    <w:p w14:paraId="5E1A4536" w14:textId="77777777" w:rsidR="00BD1FF3" w:rsidRPr="00BD1FF3" w:rsidRDefault="00BD1FF3" w:rsidP="00BD1FF3">
      <w:pPr>
        <w:jc w:val="both"/>
        <w:rPr>
          <w:rStyle w:val="Sterk"/>
          <w:b w:val="0"/>
          <w:bCs w:val="0"/>
          <w:lang w:val="en-GB"/>
        </w:rPr>
      </w:pPr>
      <w:r w:rsidRPr="00BD1FF3">
        <w:rPr>
          <w:rStyle w:val="Sterk"/>
          <w:b w:val="0"/>
          <w:bCs w:val="0"/>
          <w:lang w:val="en-GB"/>
        </w:rPr>
        <w:t xml:space="preserve">To do so, governments must increase public investment and funding in higher education and research and ensure staff are properly valued and supported. Academic careers must be attractive to all teachers and researchers. This means investing in attractive working conditions and staff development for academics and researchers, thus ending underfunding, casualisation, heavy workloads, and declining salaries for such staff.   </w:t>
      </w:r>
    </w:p>
    <w:p w14:paraId="30DDFF9C" w14:textId="77777777" w:rsidR="00BD1FF3" w:rsidRPr="00BD1FF3" w:rsidRDefault="00BD1FF3" w:rsidP="00BD1FF3">
      <w:pPr>
        <w:jc w:val="both"/>
        <w:rPr>
          <w:rStyle w:val="Sterk"/>
          <w:b w:val="0"/>
          <w:bCs w:val="0"/>
          <w:lang w:val="en-GB"/>
        </w:rPr>
      </w:pPr>
    </w:p>
    <w:p w14:paraId="4FA3D917" w14:textId="77777777" w:rsidR="00BD1FF3" w:rsidRPr="00BD1FF3" w:rsidRDefault="00BD1FF3" w:rsidP="00BD1FF3">
      <w:pPr>
        <w:jc w:val="both"/>
        <w:rPr>
          <w:rStyle w:val="Sterk"/>
          <w:b w:val="0"/>
          <w:bCs w:val="0"/>
          <w:lang w:val="en-GB"/>
        </w:rPr>
      </w:pPr>
      <w:r w:rsidRPr="00BD1FF3">
        <w:rPr>
          <w:rStyle w:val="Sterk"/>
          <w:b w:val="0"/>
          <w:bCs w:val="0"/>
          <w:lang w:val="en-GB"/>
        </w:rPr>
        <w:t xml:space="preserve">Academics across EHEA unite for quality education and research. We welcome the commitments in the </w:t>
      </w:r>
      <w:hyperlink r:id="rId13" w:history="1">
        <w:r w:rsidRPr="00BD1FF3">
          <w:rPr>
            <w:rStyle w:val="Hyperkobling"/>
            <w:b/>
            <w:bCs/>
            <w:lang w:val="en-GB"/>
          </w:rPr>
          <w:t>Tirana Communique</w:t>
        </w:r>
      </w:hyperlink>
      <w:r w:rsidRPr="00BD1FF3">
        <w:rPr>
          <w:rStyle w:val="Sterk"/>
          <w:b w:val="0"/>
          <w:bCs w:val="0"/>
          <w:lang w:val="en-GB"/>
        </w:rPr>
        <w:t xml:space="preserve"> to revise the </w:t>
      </w:r>
      <w:hyperlink r:id="rId14" w:history="1">
        <w:r w:rsidRPr="00BD1FF3">
          <w:rPr>
            <w:rStyle w:val="Hyperkobling"/>
            <w:b/>
            <w:bCs/>
            <w:lang w:val="en-GB"/>
          </w:rPr>
          <w:t>Standards and Guidelines for Quality Assurance in the EHEA</w:t>
        </w:r>
      </w:hyperlink>
      <w:r w:rsidRPr="00BD1FF3">
        <w:rPr>
          <w:rStyle w:val="Sterk"/>
          <w:b w:val="0"/>
          <w:bCs w:val="0"/>
          <w:lang w:val="en-GB"/>
        </w:rPr>
        <w:t xml:space="preserve"> (ESG), to make sure it is a supportive, robust and transparent instrument for quality assurance of teaching and learning. ESG is important for mutual trust and recognition, and a framework that sets standards for quality assurance agencies and quality assurance activities. However, it must be supplemented with goals and standards that constitute the core elements of quality education and research: academic freedom, collegial governance, sustainable funding and working conditions of staff, and </w:t>
      </w:r>
      <w:r w:rsidRPr="00BD1FF3">
        <w:rPr>
          <w:rStyle w:val="Sterk"/>
          <w:b w:val="0"/>
          <w:bCs w:val="0"/>
          <w:color w:val="000000" w:themeColor="text1"/>
          <w:lang w:val="en-GB"/>
        </w:rPr>
        <w:t xml:space="preserve">the importance of the </w:t>
      </w:r>
      <w:r w:rsidRPr="00BD1FF3">
        <w:rPr>
          <w:rStyle w:val="Sterk"/>
          <w:b w:val="0"/>
          <w:bCs w:val="0"/>
          <w:lang w:val="en-GB"/>
        </w:rPr>
        <w:t xml:space="preserve">teacher-student relationship. </w:t>
      </w:r>
    </w:p>
    <w:p w14:paraId="5BCC23E4" w14:textId="77777777" w:rsidR="00BD1FF3" w:rsidRPr="00BD1FF3" w:rsidRDefault="00BD1FF3" w:rsidP="00BD1FF3">
      <w:pPr>
        <w:jc w:val="both"/>
        <w:rPr>
          <w:rStyle w:val="Sterk"/>
          <w:b w:val="0"/>
          <w:bCs w:val="0"/>
          <w:lang w:val="en-GB"/>
        </w:rPr>
      </w:pPr>
    </w:p>
    <w:p w14:paraId="4189C82E" w14:textId="77777777" w:rsidR="00BD1FF3" w:rsidRPr="00BD1FF3" w:rsidRDefault="00BD1FF3" w:rsidP="00BD1FF3">
      <w:pPr>
        <w:jc w:val="both"/>
        <w:rPr>
          <w:rStyle w:val="Sterk"/>
          <w:b w:val="0"/>
          <w:bCs w:val="0"/>
          <w:color w:val="000000" w:themeColor="text1"/>
          <w:lang w:val="en-GB"/>
        </w:rPr>
      </w:pPr>
      <w:r w:rsidRPr="00BD1FF3">
        <w:rPr>
          <w:rStyle w:val="Sterk"/>
          <w:b w:val="0"/>
          <w:bCs w:val="0"/>
          <w:lang w:val="en-GB"/>
        </w:rPr>
        <w:t xml:space="preserve">We encourage the Ministerial Conference to take inspiration from international recommendations and frameworks  such as the </w:t>
      </w:r>
      <w:hyperlink r:id="rId15">
        <w:r w:rsidRPr="00BD1FF3">
          <w:rPr>
            <w:rStyle w:val="Hyperkobling"/>
            <w:b/>
            <w:bCs/>
            <w:lang w:val="en-GB"/>
          </w:rPr>
          <w:t>UN High Level Panel on the Teaching profession</w:t>
        </w:r>
      </w:hyperlink>
      <w:r w:rsidRPr="00BD1FF3">
        <w:rPr>
          <w:rStyle w:val="Sterk"/>
          <w:b w:val="0"/>
          <w:bCs w:val="0"/>
          <w:lang w:val="en-GB"/>
        </w:rPr>
        <w:t xml:space="preserve"> (2024) and </w:t>
      </w:r>
      <w:hyperlink r:id="rId16">
        <w:r w:rsidRPr="00BD1FF3">
          <w:rPr>
            <w:rStyle w:val="Hyperkobling"/>
            <w:b/>
            <w:bCs/>
            <w:lang w:val="en-GB"/>
          </w:rPr>
          <w:t>the Santiago Consensus</w:t>
        </w:r>
      </w:hyperlink>
      <w:r w:rsidRPr="00BD1FF3">
        <w:rPr>
          <w:rStyle w:val="Sterk"/>
          <w:b w:val="0"/>
          <w:bCs w:val="0"/>
          <w:lang w:val="en-GB"/>
        </w:rPr>
        <w:t xml:space="preserve"> (2025), both of which underline the key role of teachers’ and teacher unions’ active involvement in policy development and implementation. By allowing teachers and researchers to be drivers of transformation in higher education, and by recognizing the importance of systemic social dialogue and collegial </w:t>
      </w:r>
      <w:r w:rsidRPr="00BD1FF3">
        <w:rPr>
          <w:rStyle w:val="Sterk"/>
          <w:b w:val="0"/>
          <w:bCs w:val="0"/>
          <w:color w:val="000000" w:themeColor="text1"/>
          <w:lang w:val="en-GB"/>
        </w:rPr>
        <w:t xml:space="preserve">governance, EHEA will be in a much better position to achieve its core vision and to meet the challenges ahead. </w:t>
      </w:r>
    </w:p>
    <w:p w14:paraId="5DD16B32" w14:textId="77777777" w:rsidR="00BD1FF3" w:rsidRPr="008F2A82" w:rsidRDefault="00BD1FF3" w:rsidP="00BD1FF3">
      <w:pPr>
        <w:rPr>
          <w:rStyle w:val="Sterk"/>
          <w:b w:val="0"/>
          <w:bCs w:val="0"/>
          <w:color w:val="000000" w:themeColor="text1"/>
          <w:lang w:val="en-GB"/>
        </w:rPr>
      </w:pPr>
    </w:p>
    <w:p w14:paraId="460A38E0" w14:textId="77777777" w:rsidR="00BD1FF3" w:rsidRPr="007344A7" w:rsidRDefault="00BD1FF3" w:rsidP="00BD1FF3">
      <w:pPr>
        <w:rPr>
          <w:rStyle w:val="Sterk"/>
          <w:b w:val="0"/>
          <w:bCs w:val="0"/>
          <w:color w:val="000000" w:themeColor="text1"/>
          <w:lang w:val="en-GB"/>
        </w:rPr>
      </w:pPr>
      <w:r w:rsidRPr="007344A7">
        <w:rPr>
          <w:rStyle w:val="Sterk"/>
          <w:b w:val="0"/>
          <w:bCs w:val="0"/>
          <w:color w:val="000000" w:themeColor="text1"/>
          <w:lang w:val="en-GB"/>
        </w:rPr>
        <w:t xml:space="preserve">In the run up to the 2027 Iasi-Chisinau Ministerial Conference of the Bologna Process countries, we call on ministers to commit to the following goals in the forthcoming Communique:  </w:t>
      </w:r>
    </w:p>
    <w:p w14:paraId="1134CFCE" w14:textId="77777777" w:rsidR="00BD1FF3" w:rsidRPr="008F2A82" w:rsidRDefault="00BD1FF3" w:rsidP="00BD1FF3">
      <w:pPr>
        <w:rPr>
          <w:rStyle w:val="Sterk"/>
          <w:color w:val="000000" w:themeColor="text1"/>
          <w:lang w:val="en-GB"/>
        </w:rPr>
      </w:pPr>
    </w:p>
    <w:p w14:paraId="3214D0ED" w14:textId="77777777" w:rsidR="00BD1FF3" w:rsidRPr="0041396F" w:rsidRDefault="00BD1FF3" w:rsidP="00716CC1">
      <w:pPr>
        <w:pStyle w:val="Listeavsnitt"/>
        <w:numPr>
          <w:ilvl w:val="0"/>
          <w:numId w:val="16"/>
        </w:numPr>
        <w:ind w:left="709" w:right="4" w:hanging="425"/>
        <w:jc w:val="both"/>
        <w:rPr>
          <w:rStyle w:val="Sterk"/>
          <w:b w:val="0"/>
          <w:bCs w:val="0"/>
          <w:color w:val="000000" w:themeColor="text1"/>
          <w:lang w:val="en-GB"/>
        </w:rPr>
      </w:pPr>
      <w:r w:rsidRPr="0041396F">
        <w:rPr>
          <w:rStyle w:val="Sterk"/>
          <w:b w:val="0"/>
          <w:bCs w:val="0"/>
          <w:color w:val="000000" w:themeColor="text1"/>
          <w:lang w:val="en-GB"/>
        </w:rPr>
        <w:t xml:space="preserve">Assert the EHEA as a </w:t>
      </w:r>
      <w:r w:rsidRPr="008B5CEE">
        <w:rPr>
          <w:rStyle w:val="Sterk"/>
          <w:color w:val="000000" w:themeColor="text1"/>
          <w:lang w:val="en-GB"/>
        </w:rPr>
        <w:t>safe and supportive place for quality teaching and learning</w:t>
      </w:r>
      <w:r w:rsidRPr="0041396F">
        <w:rPr>
          <w:rStyle w:val="Sterk"/>
          <w:b w:val="0"/>
          <w:bCs w:val="0"/>
          <w:color w:val="000000" w:themeColor="text1"/>
          <w:lang w:val="en-GB"/>
        </w:rPr>
        <w:t xml:space="preserve"> distinguished by critical thinking and democracy, equity, inclusion and solidarity, cultural exchange, knowledge sharing and understanding, free from coercion, polarisation, and harassment.</w:t>
      </w:r>
    </w:p>
    <w:p w14:paraId="639FEBB0" w14:textId="77777777" w:rsidR="00BD1FF3" w:rsidRPr="0041396F" w:rsidRDefault="00BD1FF3" w:rsidP="00716CC1">
      <w:pPr>
        <w:pStyle w:val="Listeavsnitt"/>
        <w:ind w:left="709" w:right="4" w:hanging="425"/>
        <w:jc w:val="both"/>
        <w:rPr>
          <w:rStyle w:val="Sterk"/>
          <w:b w:val="0"/>
          <w:bCs w:val="0"/>
          <w:color w:val="000000" w:themeColor="text1"/>
          <w:lang w:val="en-GB"/>
        </w:rPr>
      </w:pPr>
    </w:p>
    <w:p w14:paraId="0921A5BE" w14:textId="77777777" w:rsidR="00BD1FF3" w:rsidRPr="0041396F" w:rsidRDefault="00BD1FF3" w:rsidP="00716CC1">
      <w:pPr>
        <w:pStyle w:val="Listeavsnitt"/>
        <w:numPr>
          <w:ilvl w:val="0"/>
          <w:numId w:val="16"/>
        </w:numPr>
        <w:ind w:left="709" w:right="4" w:hanging="425"/>
        <w:jc w:val="both"/>
        <w:rPr>
          <w:rStyle w:val="Sterk"/>
          <w:b w:val="0"/>
          <w:bCs w:val="0"/>
          <w:color w:val="000000" w:themeColor="text1"/>
          <w:lang w:val="en-GB"/>
        </w:rPr>
      </w:pPr>
      <w:r w:rsidRPr="0041396F">
        <w:rPr>
          <w:rStyle w:val="Sterk"/>
          <w:b w:val="0"/>
          <w:bCs w:val="0"/>
          <w:color w:val="000000" w:themeColor="text1"/>
          <w:lang w:val="en-GB"/>
        </w:rPr>
        <w:t xml:space="preserve">Protect, strengthen and guarantee </w:t>
      </w:r>
      <w:r w:rsidRPr="008B5CEE">
        <w:rPr>
          <w:rStyle w:val="Sterk"/>
          <w:color w:val="000000" w:themeColor="text1"/>
          <w:lang w:val="en-GB"/>
        </w:rPr>
        <w:t xml:space="preserve">academic freedom, institutional autonomy, and other fundamental values </w:t>
      </w:r>
      <w:r w:rsidRPr="0041396F">
        <w:rPr>
          <w:rStyle w:val="Sterk"/>
          <w:b w:val="0"/>
          <w:bCs w:val="0"/>
          <w:color w:val="000000" w:themeColor="text1"/>
          <w:lang w:val="en-GB"/>
        </w:rPr>
        <w:t xml:space="preserve">such as freedom of knowledge, science, and speech, </w:t>
      </w:r>
      <w:r w:rsidRPr="007B14F5">
        <w:rPr>
          <w:color w:val="000000" w:themeColor="text1"/>
          <w:lang w:val="en-GB"/>
        </w:rPr>
        <w:t>participation of students and staff in higher education governance, and public responsibility for and of higher education,</w:t>
      </w:r>
      <w:r w:rsidRPr="008B5CEE">
        <w:rPr>
          <w:rStyle w:val="Sterk"/>
          <w:color w:val="000000" w:themeColor="text1"/>
          <w:lang w:val="en-GB"/>
        </w:rPr>
        <w:t xml:space="preserve">  </w:t>
      </w:r>
      <w:r w:rsidRPr="0041396F">
        <w:rPr>
          <w:rStyle w:val="Sterk"/>
          <w:b w:val="0"/>
          <w:bCs w:val="0"/>
          <w:color w:val="000000" w:themeColor="text1"/>
          <w:lang w:val="en-GB"/>
        </w:rPr>
        <w:t xml:space="preserve">and ensure they are effectively monitored nationally and across the EHEA with structured involvement of the staff and their trade unions in the process. </w:t>
      </w:r>
    </w:p>
    <w:p w14:paraId="6AE02597" w14:textId="77777777" w:rsidR="00BD1FF3" w:rsidRPr="008F2A82" w:rsidRDefault="00BD1FF3" w:rsidP="00716CC1">
      <w:pPr>
        <w:ind w:left="709" w:right="4" w:hanging="425"/>
        <w:jc w:val="both"/>
        <w:rPr>
          <w:rStyle w:val="Sterk"/>
          <w:color w:val="000000" w:themeColor="text1"/>
          <w:lang w:val="en-GB"/>
        </w:rPr>
      </w:pPr>
    </w:p>
    <w:p w14:paraId="340EFB35" w14:textId="77777777" w:rsidR="00BD1FF3" w:rsidRPr="00F7090B" w:rsidRDefault="00BD1FF3" w:rsidP="00716CC1">
      <w:pPr>
        <w:pStyle w:val="Listeavsnitt"/>
        <w:numPr>
          <w:ilvl w:val="0"/>
          <w:numId w:val="16"/>
        </w:numPr>
        <w:ind w:left="709" w:right="4" w:hanging="425"/>
        <w:jc w:val="both"/>
        <w:rPr>
          <w:rStyle w:val="Sterk"/>
          <w:b w:val="0"/>
          <w:bCs w:val="0"/>
          <w:color w:val="000000" w:themeColor="text1"/>
          <w:lang w:val="en-GB"/>
        </w:rPr>
      </w:pPr>
      <w:r w:rsidRPr="00F7090B">
        <w:rPr>
          <w:rStyle w:val="Sterk"/>
          <w:b w:val="0"/>
          <w:bCs w:val="0"/>
          <w:color w:val="000000" w:themeColor="text1"/>
          <w:lang w:val="en-GB"/>
        </w:rPr>
        <w:lastRenderedPageBreak/>
        <w:t xml:space="preserve">Guarantee </w:t>
      </w:r>
      <w:r w:rsidRPr="0041396F">
        <w:rPr>
          <w:rStyle w:val="Sterk"/>
          <w:color w:val="000000" w:themeColor="text1"/>
          <w:lang w:val="en-GB"/>
        </w:rPr>
        <w:t>sustainable and long-term public investment and funding</w:t>
      </w:r>
      <w:r w:rsidRPr="00F7090B">
        <w:rPr>
          <w:rStyle w:val="Sterk"/>
          <w:b w:val="0"/>
          <w:bCs w:val="0"/>
          <w:color w:val="000000" w:themeColor="text1"/>
          <w:lang w:val="en-GB"/>
        </w:rPr>
        <w:t xml:space="preserve"> in higher education and research to ensure high quality education and research across all fields of knowledge and a supportive working and learning environment for staff and students. </w:t>
      </w:r>
    </w:p>
    <w:p w14:paraId="3DC7E2B7" w14:textId="77777777" w:rsidR="00BD1FF3" w:rsidRPr="008F2A82" w:rsidRDefault="00BD1FF3" w:rsidP="00716CC1">
      <w:pPr>
        <w:pStyle w:val="Listeavsnitt"/>
        <w:ind w:left="709" w:right="4" w:hanging="425"/>
        <w:jc w:val="both"/>
        <w:rPr>
          <w:rStyle w:val="Sterk"/>
          <w:b w:val="0"/>
          <w:bCs w:val="0"/>
          <w:color w:val="000000" w:themeColor="text1"/>
          <w:lang w:val="en-GB"/>
        </w:rPr>
      </w:pPr>
    </w:p>
    <w:p w14:paraId="385164BE" w14:textId="77777777" w:rsidR="00BD1FF3" w:rsidRPr="00F7090B" w:rsidRDefault="00BD1FF3" w:rsidP="00716CC1">
      <w:pPr>
        <w:pStyle w:val="Listeavsnitt"/>
        <w:numPr>
          <w:ilvl w:val="0"/>
          <w:numId w:val="16"/>
        </w:numPr>
        <w:ind w:left="709" w:right="4" w:hanging="425"/>
        <w:jc w:val="both"/>
        <w:rPr>
          <w:rStyle w:val="Sterk"/>
          <w:b w:val="0"/>
          <w:bCs w:val="0"/>
          <w:color w:val="000000" w:themeColor="text1"/>
          <w:lang w:val="en-GB"/>
        </w:rPr>
      </w:pPr>
      <w:r w:rsidRPr="00F7090B">
        <w:rPr>
          <w:rStyle w:val="Sterk"/>
          <w:b w:val="0"/>
          <w:bCs w:val="0"/>
          <w:color w:val="000000" w:themeColor="text1"/>
          <w:lang w:val="en-GB"/>
        </w:rPr>
        <w:t xml:space="preserve">Recognise the </w:t>
      </w:r>
      <w:r w:rsidRPr="00F75CC9">
        <w:rPr>
          <w:rStyle w:val="Sterk"/>
          <w:color w:val="000000" w:themeColor="text1"/>
          <w:lang w:val="en-GB"/>
        </w:rPr>
        <w:t>student-teacher relationship</w:t>
      </w:r>
      <w:r w:rsidRPr="00F7090B">
        <w:rPr>
          <w:rStyle w:val="Sterk"/>
          <w:b w:val="0"/>
          <w:bCs w:val="0"/>
          <w:color w:val="000000" w:themeColor="text1"/>
          <w:lang w:val="en-GB"/>
        </w:rPr>
        <w:t xml:space="preserve"> as a permanent, key constituent of higher education institutions and reaffirm the crucial role of teaching staff in supporting high-quality, learner-centred and innovative learning and teaching.</w:t>
      </w:r>
    </w:p>
    <w:p w14:paraId="259293D5" w14:textId="77777777" w:rsidR="00BD1FF3" w:rsidRPr="00F7090B" w:rsidRDefault="00BD1FF3" w:rsidP="00716CC1">
      <w:pPr>
        <w:pStyle w:val="Listeavsnitt"/>
        <w:ind w:left="709" w:right="4" w:hanging="425"/>
        <w:jc w:val="both"/>
        <w:rPr>
          <w:rStyle w:val="Sterk"/>
          <w:b w:val="0"/>
          <w:bCs w:val="0"/>
          <w:color w:val="000000" w:themeColor="text1"/>
          <w:lang w:val="en-GB"/>
        </w:rPr>
      </w:pPr>
    </w:p>
    <w:p w14:paraId="033E1ECF" w14:textId="77777777" w:rsidR="00BD1FF3" w:rsidRPr="00F7090B" w:rsidRDefault="00BD1FF3" w:rsidP="00716CC1">
      <w:pPr>
        <w:pStyle w:val="Listeavsnitt"/>
        <w:numPr>
          <w:ilvl w:val="0"/>
          <w:numId w:val="16"/>
        </w:numPr>
        <w:ind w:left="709" w:right="4" w:hanging="425"/>
        <w:jc w:val="both"/>
        <w:rPr>
          <w:rStyle w:val="Sterk"/>
          <w:b w:val="0"/>
          <w:bCs w:val="0"/>
          <w:color w:val="000000" w:themeColor="text1"/>
          <w:lang w:val="en-GB"/>
        </w:rPr>
      </w:pPr>
      <w:r w:rsidRPr="00F7090B">
        <w:rPr>
          <w:rStyle w:val="Sterk"/>
          <w:b w:val="0"/>
          <w:bCs w:val="0"/>
          <w:color w:val="000000" w:themeColor="text1"/>
          <w:lang w:val="en-GB"/>
        </w:rPr>
        <w:t xml:space="preserve">Prioritise </w:t>
      </w:r>
      <w:r w:rsidRPr="00ED0136">
        <w:rPr>
          <w:rStyle w:val="Sterk"/>
          <w:color w:val="000000" w:themeColor="text1"/>
          <w:lang w:val="en-GB"/>
        </w:rPr>
        <w:t>decent working conditions and well-being</w:t>
      </w:r>
      <w:r w:rsidRPr="00F7090B">
        <w:rPr>
          <w:rStyle w:val="Sterk"/>
          <w:b w:val="0"/>
          <w:bCs w:val="0"/>
          <w:color w:val="000000" w:themeColor="text1"/>
          <w:lang w:val="en-GB"/>
        </w:rPr>
        <w:t xml:space="preserve"> that increase the attractiveness of the academic profession by guaranteeing to all staff permanent contracts, decent salaries, fair pension </w:t>
      </w:r>
      <w:r w:rsidRPr="00F7090B">
        <w:rPr>
          <w:color w:val="000000" w:themeColor="text1"/>
          <w:lang w:val="en-GB"/>
        </w:rPr>
        <w:t>and provision and opportunities for professional development and innovation throughout the academic career.</w:t>
      </w:r>
    </w:p>
    <w:p w14:paraId="0130A92B" w14:textId="77777777" w:rsidR="00BD1FF3" w:rsidRPr="00F7090B" w:rsidRDefault="00BD1FF3" w:rsidP="00BD1FF3">
      <w:pPr>
        <w:jc w:val="both"/>
        <w:rPr>
          <w:rStyle w:val="Sterk"/>
          <w:b w:val="0"/>
          <w:bCs w:val="0"/>
          <w:color w:val="000000" w:themeColor="text1"/>
          <w:lang w:val="en-GB"/>
        </w:rPr>
      </w:pPr>
    </w:p>
    <w:p w14:paraId="42D6926B" w14:textId="77777777" w:rsidR="00BD1FF3" w:rsidRPr="00F7090B" w:rsidRDefault="00BD1FF3" w:rsidP="00BD1FF3">
      <w:pPr>
        <w:pStyle w:val="Listeavsnitt"/>
        <w:numPr>
          <w:ilvl w:val="0"/>
          <w:numId w:val="17"/>
        </w:numPr>
        <w:jc w:val="both"/>
        <w:rPr>
          <w:rStyle w:val="Sterk"/>
          <w:b w:val="0"/>
          <w:bCs w:val="0"/>
          <w:color w:val="000000" w:themeColor="text1"/>
          <w:lang w:val="en-GB"/>
        </w:rPr>
      </w:pPr>
      <w:r w:rsidRPr="00F7090B">
        <w:rPr>
          <w:rStyle w:val="Sterk"/>
          <w:b w:val="0"/>
          <w:bCs w:val="0"/>
          <w:color w:val="000000" w:themeColor="text1"/>
          <w:lang w:val="en-GB"/>
        </w:rPr>
        <w:t xml:space="preserve">Ensure a </w:t>
      </w:r>
      <w:r w:rsidRPr="00F7090B">
        <w:rPr>
          <w:rStyle w:val="Sterk"/>
          <w:color w:val="000000" w:themeColor="text1"/>
          <w:lang w:val="en-GB"/>
        </w:rPr>
        <w:t>human-centred, ethical, and rights-based approach to AI</w:t>
      </w:r>
      <w:r w:rsidRPr="00F7090B">
        <w:rPr>
          <w:rStyle w:val="Sterk"/>
          <w:b w:val="0"/>
          <w:bCs w:val="0"/>
          <w:color w:val="000000" w:themeColor="text1"/>
          <w:lang w:val="en-GB"/>
        </w:rPr>
        <w:t xml:space="preserve"> – one that ensures transparency, mitigates bias, protects privacy, respects academic freedom and intellectual property, and safeguards educational equity and quality. </w:t>
      </w:r>
    </w:p>
    <w:p w14:paraId="3CBBDB65" w14:textId="77777777" w:rsidR="00BD1FF3" w:rsidRPr="00F7090B" w:rsidRDefault="00BD1FF3" w:rsidP="00BD1FF3">
      <w:pPr>
        <w:pStyle w:val="Listeavsnitt"/>
        <w:jc w:val="both"/>
        <w:rPr>
          <w:rStyle w:val="Sterk"/>
          <w:b w:val="0"/>
          <w:bCs w:val="0"/>
          <w:color w:val="000000" w:themeColor="text1"/>
          <w:lang w:val="en-GB"/>
        </w:rPr>
      </w:pPr>
    </w:p>
    <w:p w14:paraId="0DDC9832" w14:textId="35982DED" w:rsidR="00BD1FF3" w:rsidRPr="00F7090B" w:rsidRDefault="00BD1FF3" w:rsidP="00BD1FF3">
      <w:pPr>
        <w:pStyle w:val="Listeavsnitt"/>
        <w:numPr>
          <w:ilvl w:val="0"/>
          <w:numId w:val="17"/>
        </w:numPr>
        <w:jc w:val="both"/>
        <w:rPr>
          <w:rStyle w:val="Sterk"/>
          <w:b w:val="0"/>
          <w:bCs w:val="0"/>
          <w:color w:val="000000" w:themeColor="text1"/>
          <w:lang w:val="en-GB"/>
        </w:rPr>
      </w:pPr>
      <w:r w:rsidRPr="00F7090B">
        <w:rPr>
          <w:rStyle w:val="Sterk"/>
          <w:b w:val="0"/>
          <w:bCs w:val="0"/>
          <w:color w:val="000000" w:themeColor="text1"/>
          <w:lang w:val="en-GB"/>
        </w:rPr>
        <w:t xml:space="preserve">Strengthen </w:t>
      </w:r>
      <w:r w:rsidRPr="00F7090B">
        <w:rPr>
          <w:rStyle w:val="Sterk"/>
          <w:color w:val="000000" w:themeColor="text1"/>
          <w:lang w:val="en-GB"/>
        </w:rPr>
        <w:t>collaboration</w:t>
      </w:r>
      <w:r w:rsidRPr="00F7090B">
        <w:rPr>
          <w:rStyle w:val="Sterk"/>
          <w:b w:val="0"/>
          <w:bCs w:val="0"/>
          <w:color w:val="000000" w:themeColor="text1"/>
          <w:lang w:val="en-GB"/>
        </w:rPr>
        <w:t xml:space="preserve"> among institutions, staff and students, enforce </w:t>
      </w:r>
      <w:r w:rsidRPr="00F7090B">
        <w:rPr>
          <w:rStyle w:val="Sterk"/>
          <w:color w:val="000000" w:themeColor="text1"/>
          <w:lang w:val="en-GB"/>
        </w:rPr>
        <w:t>democratic participation</w:t>
      </w:r>
      <w:r w:rsidRPr="00F7090B">
        <w:rPr>
          <w:rStyle w:val="Sterk"/>
          <w:b w:val="0"/>
          <w:bCs w:val="0"/>
          <w:color w:val="000000" w:themeColor="text1"/>
          <w:lang w:val="en-GB"/>
        </w:rPr>
        <w:t xml:space="preserve">; establish transparent and systemic mechanisms </w:t>
      </w:r>
      <w:r w:rsidRPr="00F7090B">
        <w:rPr>
          <w:rStyle w:val="Sterk"/>
          <w:color w:val="000000" w:themeColor="text1"/>
          <w:lang w:val="en-GB"/>
        </w:rPr>
        <w:t>for effective and structural social dialogue and collegial governance</w:t>
      </w:r>
      <w:r w:rsidRPr="00F7090B">
        <w:rPr>
          <w:rStyle w:val="Sterk"/>
          <w:b w:val="0"/>
          <w:bCs w:val="0"/>
          <w:color w:val="000000" w:themeColor="text1"/>
          <w:lang w:val="en-GB"/>
        </w:rPr>
        <w:t>; involve the academics in shaping and transforming higher education both within EHEA and at national and institutional level.</w:t>
      </w:r>
    </w:p>
    <w:p w14:paraId="1DF6465A" w14:textId="77777777" w:rsidR="00DF5A27" w:rsidRPr="00DF5A27" w:rsidRDefault="00DF5A27" w:rsidP="00DF5A27">
      <w:pPr>
        <w:rPr>
          <w:rStyle w:val="Sterk"/>
          <w:b w:val="0"/>
          <w:bCs w:val="0"/>
          <w:lang w:val="en-GB"/>
        </w:rPr>
      </w:pPr>
    </w:p>
    <w:p w14:paraId="5BD6BB8B" w14:textId="664DD725" w:rsidR="0036132B" w:rsidRPr="00CF69BF" w:rsidRDefault="0036132B" w:rsidP="00DF5A27">
      <w:pPr>
        <w:rPr>
          <w:lang w:val="en-GB"/>
        </w:rPr>
      </w:pPr>
    </w:p>
    <w:sectPr w:rsidR="0036132B" w:rsidRPr="00CF69BF" w:rsidSect="00D671D4">
      <w:footerReference w:type="default" r:id="rId17"/>
      <w:headerReference w:type="first" r:id="rId18"/>
      <w:footerReference w:type="first" r:id="rId19"/>
      <w:pgSz w:w="12240" w:h="15840"/>
      <w:pgMar w:top="1440" w:right="1440" w:bottom="1440" w:left="1440"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36A0" w14:textId="77777777" w:rsidR="00D41E25" w:rsidRDefault="00D41E25" w:rsidP="00471F80">
      <w:r>
        <w:separator/>
      </w:r>
    </w:p>
  </w:endnote>
  <w:endnote w:type="continuationSeparator" w:id="0">
    <w:p w14:paraId="50C8F303" w14:textId="77777777" w:rsidR="00D41E25" w:rsidRDefault="00D41E25" w:rsidP="0047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7894" w14:textId="77777777" w:rsidR="00567CCD" w:rsidRDefault="00567CCD" w:rsidP="00567CCD">
    <w:pPr>
      <w:pStyle w:val="Bunntekst"/>
      <w:tabs>
        <w:tab w:val="clear" w:pos="4680"/>
        <w:tab w:val="clear" w:pos="9360"/>
        <w:tab w:val="left" w:pos="4110"/>
      </w:tabs>
      <w:rPr>
        <w:rFonts w:ascii="Verdana" w:hAnsi="Verdana"/>
        <w:b/>
        <w:bCs/>
        <w:color w:val="FFFFFF"/>
        <w:sz w:val="18"/>
        <w:szCs w:val="18"/>
      </w:rPr>
    </w:pPr>
  </w:p>
  <w:p w14:paraId="437C830F" w14:textId="1D88B1C9" w:rsidR="00567CCD" w:rsidRDefault="00567CCD" w:rsidP="00567CCD">
    <w:pPr>
      <w:pStyle w:val="Bunntekst"/>
      <w:tabs>
        <w:tab w:val="clear" w:pos="4680"/>
        <w:tab w:val="clear" w:pos="9360"/>
        <w:tab w:val="left" w:pos="4110"/>
      </w:tabs>
      <w:rPr>
        <w:rFonts w:ascii="Verdana" w:hAnsi="Verdana"/>
        <w:b/>
        <w:bCs/>
        <w:color w:val="FFFFFF"/>
        <w:sz w:val="18"/>
        <w:szCs w:val="18"/>
      </w:rPr>
    </w:pPr>
  </w:p>
  <w:p w14:paraId="1ABCA042" w14:textId="77777777" w:rsidR="00E8538D" w:rsidRDefault="00E8538D" w:rsidP="00E8538D">
    <w:pPr>
      <w:pStyle w:val="Bunntekst"/>
      <w:rPr>
        <w:rFonts w:ascii="Verdana" w:hAnsi="Verdana"/>
        <w:b/>
        <w:bCs/>
        <w:color w:val="FFFFFF"/>
        <w:sz w:val="18"/>
        <w:szCs w:val="18"/>
      </w:rPr>
    </w:pPr>
  </w:p>
  <w:p w14:paraId="515CB43B" w14:textId="77777777" w:rsidR="00B867E3" w:rsidRPr="00567CCD" w:rsidRDefault="006643A6" w:rsidP="00567CCD">
    <w:pPr>
      <w:pStyle w:val="Bunntekst"/>
      <w:rPr>
        <w:rFonts w:ascii="Verdana" w:hAnsi="Verdana"/>
        <w:b/>
        <w:bCs/>
        <w:color w:val="FFFFFF"/>
        <w:sz w:val="18"/>
        <w:szCs w:val="18"/>
      </w:rPr>
    </w:pPr>
    <w:r w:rsidRPr="00050DDF">
      <w:rPr>
        <w:rFonts w:ascii="Verdana" w:hAnsi="Verdana"/>
        <w:b/>
        <w:bCs/>
        <w:color w:val="20419A"/>
        <w:sz w:val="18"/>
        <w:szCs w:val="18"/>
      </w:rPr>
      <w:t xml:space="preserve">Page </w:t>
    </w:r>
    <w:r w:rsidRPr="00050DDF">
      <w:rPr>
        <w:rFonts w:ascii="Verdana" w:hAnsi="Verdana"/>
        <w:b/>
        <w:bCs/>
        <w:color w:val="20419A"/>
        <w:sz w:val="18"/>
        <w:szCs w:val="18"/>
      </w:rPr>
      <w:fldChar w:fldCharType="begin"/>
    </w:r>
    <w:r w:rsidRPr="00050DDF">
      <w:rPr>
        <w:rFonts w:ascii="Verdana" w:hAnsi="Verdana"/>
        <w:b/>
        <w:bCs/>
        <w:color w:val="20419A"/>
        <w:sz w:val="18"/>
        <w:szCs w:val="18"/>
      </w:rPr>
      <w:instrText xml:space="preserve"> PAGE  \* Arabic  \* MERGEFORMAT </w:instrText>
    </w:r>
    <w:r w:rsidRPr="00050DDF">
      <w:rPr>
        <w:rFonts w:ascii="Verdana" w:hAnsi="Verdana"/>
        <w:b/>
        <w:bCs/>
        <w:color w:val="20419A"/>
        <w:sz w:val="18"/>
        <w:szCs w:val="18"/>
      </w:rPr>
      <w:fldChar w:fldCharType="separate"/>
    </w:r>
    <w:r w:rsidRPr="00050DDF">
      <w:rPr>
        <w:rFonts w:ascii="Verdana" w:hAnsi="Verdana"/>
        <w:b/>
        <w:bCs/>
        <w:noProof/>
        <w:color w:val="20419A"/>
        <w:sz w:val="18"/>
        <w:szCs w:val="18"/>
      </w:rPr>
      <w:t>1</w:t>
    </w:r>
    <w:r w:rsidRPr="00050DDF">
      <w:rPr>
        <w:rFonts w:ascii="Verdana" w:hAnsi="Verdana"/>
        <w:b/>
        <w:bCs/>
        <w:color w:val="20419A"/>
        <w:sz w:val="18"/>
        <w:szCs w:val="18"/>
      </w:rPr>
      <w:fldChar w:fldCharType="end"/>
    </w:r>
    <w:r w:rsidRPr="00050DDF">
      <w:rPr>
        <w:rFonts w:ascii="Verdana" w:hAnsi="Verdana"/>
        <w:b/>
        <w:bCs/>
        <w:color w:val="20419A"/>
        <w:sz w:val="18"/>
        <w:szCs w:val="18"/>
      </w:rPr>
      <w:t xml:space="preserve"> </w:t>
    </w:r>
    <w:proofErr w:type="spellStart"/>
    <w:r w:rsidRPr="00500DAD">
      <w:rPr>
        <w:rFonts w:ascii="Verdana" w:hAnsi="Verdana"/>
        <w:color w:val="20419A"/>
        <w:sz w:val="18"/>
        <w:szCs w:val="18"/>
      </w:rPr>
      <w:t>of</w:t>
    </w:r>
    <w:proofErr w:type="spellEnd"/>
    <w:r w:rsidRPr="00500DAD">
      <w:rPr>
        <w:rFonts w:ascii="Verdana" w:hAnsi="Verdana"/>
        <w:color w:val="20419A"/>
        <w:sz w:val="18"/>
        <w:szCs w:val="18"/>
      </w:rPr>
      <w:t xml:space="preserve"> </w:t>
    </w:r>
    <w:r w:rsidRPr="00050DDF">
      <w:rPr>
        <w:rFonts w:ascii="Verdana" w:hAnsi="Verdana"/>
        <w:color w:val="20419A"/>
        <w:sz w:val="18"/>
        <w:szCs w:val="18"/>
      </w:rPr>
      <w:fldChar w:fldCharType="begin"/>
    </w:r>
    <w:r w:rsidRPr="00050DDF">
      <w:rPr>
        <w:rFonts w:ascii="Verdana" w:hAnsi="Verdana"/>
        <w:color w:val="20419A"/>
        <w:sz w:val="18"/>
        <w:szCs w:val="18"/>
      </w:rPr>
      <w:instrText xml:space="preserve"> NUMPAGES  \* Arabic  \* MERGEFORMAT </w:instrText>
    </w:r>
    <w:r w:rsidRPr="00050DDF">
      <w:rPr>
        <w:rFonts w:ascii="Verdana" w:hAnsi="Verdana"/>
        <w:color w:val="20419A"/>
        <w:sz w:val="18"/>
        <w:szCs w:val="18"/>
      </w:rPr>
      <w:fldChar w:fldCharType="separate"/>
    </w:r>
    <w:r w:rsidRPr="00050DDF">
      <w:rPr>
        <w:rFonts w:ascii="Verdana" w:hAnsi="Verdana"/>
        <w:noProof/>
        <w:color w:val="20419A"/>
        <w:sz w:val="18"/>
        <w:szCs w:val="18"/>
      </w:rPr>
      <w:t>2</w:t>
    </w:r>
    <w:r w:rsidRPr="00050DDF">
      <w:rPr>
        <w:rFonts w:ascii="Verdana" w:hAnsi="Verdana"/>
        <w:color w:val="20419A"/>
        <w:sz w:val="18"/>
        <w:szCs w:val="18"/>
      </w:rPr>
      <w:fldChar w:fldCharType="end"/>
    </w:r>
    <w:r w:rsidR="00471F80" w:rsidRPr="007D6CCC">
      <w:rPr>
        <w:rFonts w:ascii="Verdana" w:hAnsi="Verdana"/>
        <w:color w:val="FFFFFF"/>
        <w:sz w:val="18"/>
        <w:szCs w:val="18"/>
      </w:rPr>
      <w:t xml:space="preserve"> </w:t>
    </w:r>
  </w:p>
  <w:p w14:paraId="6C7B145F" w14:textId="77777777" w:rsidR="00B867E3" w:rsidRPr="00710C04" w:rsidRDefault="00B867E3" w:rsidP="00B867E3">
    <w:pPr>
      <w:pStyle w:val="Bunntekst"/>
      <w:spacing w:line="276" w:lineRule="auto"/>
      <w:rPr>
        <w:rFonts w:ascii="Verdana" w:hAnsi="Verdana" w:cs="Calibri"/>
        <w:color w:val="FFFFF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F7A3" w14:textId="77777777" w:rsidR="005010D9" w:rsidRDefault="005010D9" w:rsidP="00385874">
    <w:pPr>
      <w:pStyle w:val="Bunntekst"/>
      <w:spacing w:line="276" w:lineRule="auto"/>
      <w:rPr>
        <w:rFonts w:ascii="Verdana" w:hAnsi="Verdana"/>
        <w:color w:val="FFFFFF" w:themeColor="background1"/>
        <w:sz w:val="16"/>
        <w:szCs w:val="16"/>
      </w:rPr>
    </w:pPr>
  </w:p>
  <w:p w14:paraId="64C003C6" w14:textId="77777777" w:rsidR="005010D9" w:rsidRDefault="005010D9" w:rsidP="00385874">
    <w:pPr>
      <w:pStyle w:val="Bunntekst"/>
      <w:spacing w:line="276" w:lineRule="auto"/>
      <w:rPr>
        <w:rFonts w:ascii="Verdana" w:hAnsi="Verdana"/>
        <w:color w:val="FFFFFF" w:themeColor="background1"/>
        <w:sz w:val="16"/>
        <w:szCs w:val="16"/>
      </w:rPr>
    </w:pPr>
  </w:p>
  <w:p w14:paraId="355DC1C9" w14:textId="77777777" w:rsidR="005010D9" w:rsidRDefault="005010D9" w:rsidP="005154A1">
    <w:pPr>
      <w:pStyle w:val="Bunntekst"/>
      <w:spacing w:line="276" w:lineRule="auto"/>
      <w:jc w:val="center"/>
      <w:rPr>
        <w:rFonts w:ascii="Verdana" w:hAnsi="Verdana"/>
        <w:color w:val="FFFFFF" w:themeColor="background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5992" w14:textId="77777777" w:rsidR="00D41E25" w:rsidRDefault="00D41E25" w:rsidP="00471F80">
      <w:r>
        <w:separator/>
      </w:r>
    </w:p>
  </w:footnote>
  <w:footnote w:type="continuationSeparator" w:id="0">
    <w:p w14:paraId="54D3A44C" w14:textId="77777777" w:rsidR="00D41E25" w:rsidRDefault="00D41E25" w:rsidP="0047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3A98" w14:textId="14780CBE" w:rsidR="00E87261" w:rsidRPr="00B52E08" w:rsidRDefault="007A7AAE" w:rsidP="001A5EEA">
    <w:pPr>
      <w:pStyle w:val="Topptekst"/>
      <w:rPr>
        <w:color w:val="FF0000"/>
        <w:lang w:val="en-US"/>
      </w:rPr>
    </w:pPr>
    <w:r>
      <w:rPr>
        <w:noProof/>
        <w:lang w:eastAsia="en-GB"/>
      </w:rPr>
      <w:drawing>
        <wp:anchor distT="0" distB="0" distL="114300" distR="114300" simplePos="0" relativeHeight="251660800" behindDoc="1" locked="0" layoutInCell="1" allowOverlap="1" wp14:anchorId="20BC6005" wp14:editId="50CE80D3">
          <wp:simplePos x="0" y="0"/>
          <wp:positionH relativeFrom="column">
            <wp:posOffset>4419600</wp:posOffset>
          </wp:positionH>
          <wp:positionV relativeFrom="paragraph">
            <wp:posOffset>127001</wp:posOffset>
          </wp:positionV>
          <wp:extent cx="1617399" cy="450850"/>
          <wp:effectExtent l="0" t="0" r="1905" b="6350"/>
          <wp:wrapNone/>
          <wp:docPr id="382736071" name="Picture 38273607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708" cy="45177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4623CA62" wp14:editId="49B6CF2D">
          <wp:simplePos x="0" y="0"/>
          <wp:positionH relativeFrom="margin">
            <wp:posOffset>-508000</wp:posOffset>
          </wp:positionH>
          <wp:positionV relativeFrom="paragraph">
            <wp:posOffset>209550</wp:posOffset>
          </wp:positionV>
          <wp:extent cx="2514600" cy="410845"/>
          <wp:effectExtent l="0" t="0" r="0" b="8255"/>
          <wp:wrapSquare wrapText="bothSides"/>
          <wp:docPr id="1790678284" name="Picture 5"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78284" name="Picture 5"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514600" cy="410845"/>
                  </a:xfrm>
                  <a:prstGeom prst="rect">
                    <a:avLst/>
                  </a:prstGeom>
                </pic:spPr>
              </pic:pic>
            </a:graphicData>
          </a:graphic>
          <wp14:sizeRelH relativeFrom="page">
            <wp14:pctWidth>0</wp14:pctWidth>
          </wp14:sizeRelH>
          <wp14:sizeRelV relativeFrom="page">
            <wp14:pctHeight>0</wp14:pctHeight>
          </wp14:sizeRelV>
        </wp:anchor>
      </w:drawing>
    </w:r>
    <w:r w:rsidR="00E87261">
      <w:t xml:space="preserve">              </w:t>
    </w:r>
  </w:p>
  <w:p w14:paraId="3FCC9EEC" w14:textId="4EFCC7E3" w:rsidR="004C446A" w:rsidRDefault="00932E89">
    <w:pPr>
      <w:pStyle w:val="Topptekst"/>
    </w:pPr>
    <w:r>
      <w:rPr>
        <w:noProof/>
        <w14:ligatures w14:val="standardContextual"/>
      </w:rPr>
      <w:drawing>
        <wp:inline distT="0" distB="0" distL="0" distR="0" wp14:anchorId="7D4C669D" wp14:editId="76DAD104">
          <wp:extent cx="2066925" cy="513418"/>
          <wp:effectExtent l="0" t="0" r="0" b="1270"/>
          <wp:docPr id="145643947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39478" name="Bilde 1456439478"/>
                  <pic:cNvPicPr/>
                </pic:nvPicPr>
                <pic:blipFill>
                  <a:blip r:embed="rId3">
                    <a:extLst>
                      <a:ext uri="{28A0092B-C50C-407E-A947-70E740481C1C}">
                        <a14:useLocalDpi xmlns:a14="http://schemas.microsoft.com/office/drawing/2010/main" val="0"/>
                      </a:ext>
                    </a:extLst>
                  </a:blip>
                  <a:stretch>
                    <a:fillRect/>
                  </a:stretch>
                </pic:blipFill>
                <pic:spPr>
                  <a:xfrm>
                    <a:off x="0" y="0"/>
                    <a:ext cx="2078229" cy="516226"/>
                  </a:xfrm>
                  <a:prstGeom prst="rect">
                    <a:avLst/>
                  </a:prstGeom>
                </pic:spPr>
              </pic:pic>
            </a:graphicData>
          </a:graphic>
        </wp:inline>
      </w:drawing>
    </w:r>
    <w:r w:rsidR="001A5EEA">
      <w:tab/>
    </w:r>
  </w:p>
  <w:p w14:paraId="27F991D0" w14:textId="77777777" w:rsidR="00347C59" w:rsidRDefault="00347C59">
    <w:pPr>
      <w:pStyle w:val="Topptekst"/>
      <w:rPr>
        <w:rFonts w:ascii="Verdana" w:hAnsi="Verdana" w:cs="Calibri"/>
        <w:noProof/>
        <w:color w:val="20419A"/>
        <w:sz w:val="14"/>
        <w:szCs w:val="14"/>
        <w:lang w:val="de-DE"/>
      </w:rPr>
    </w:pPr>
  </w:p>
  <w:p w14:paraId="2C5B9661" w14:textId="77777777" w:rsidR="008413A7" w:rsidRDefault="008413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121"/>
    <w:multiLevelType w:val="hybridMultilevel"/>
    <w:tmpl w:val="9A4CF2D8"/>
    <w:lvl w:ilvl="0" w:tplc="04140001">
      <w:start w:val="1"/>
      <w:numFmt w:val="bullet"/>
      <w:lvlText w:val=""/>
      <w:lvlJc w:val="left"/>
      <w:pPr>
        <w:ind w:left="4612"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6330E4"/>
    <w:multiLevelType w:val="hybridMultilevel"/>
    <w:tmpl w:val="D2FA73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A006BF"/>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69305EE"/>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4C1D6E"/>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D56CD2"/>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9978AE"/>
    <w:multiLevelType w:val="hybridMultilevel"/>
    <w:tmpl w:val="207EC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B747E"/>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2964920"/>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E432A5"/>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B677F00"/>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2CF27E0"/>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5B6749E"/>
    <w:multiLevelType w:val="hybridMultilevel"/>
    <w:tmpl w:val="31C835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D34A1C"/>
    <w:multiLevelType w:val="hybridMultilevel"/>
    <w:tmpl w:val="C7C8F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5E3229"/>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8FA1C07"/>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19538D2"/>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2416BE8"/>
    <w:multiLevelType w:val="hybridMultilevel"/>
    <w:tmpl w:val="31C835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07099149">
    <w:abstractNumId w:val="13"/>
  </w:num>
  <w:num w:numId="2" w16cid:durableId="2124954813">
    <w:abstractNumId w:val="12"/>
  </w:num>
  <w:num w:numId="3" w16cid:durableId="47263453">
    <w:abstractNumId w:val="16"/>
  </w:num>
  <w:num w:numId="4" w16cid:durableId="248582176">
    <w:abstractNumId w:val="2"/>
  </w:num>
  <w:num w:numId="5" w16cid:durableId="60561305">
    <w:abstractNumId w:val="14"/>
  </w:num>
  <w:num w:numId="6" w16cid:durableId="275646118">
    <w:abstractNumId w:val="9"/>
  </w:num>
  <w:num w:numId="7" w16cid:durableId="936400981">
    <w:abstractNumId w:val="3"/>
  </w:num>
  <w:num w:numId="8" w16cid:durableId="2127773467">
    <w:abstractNumId w:val="17"/>
  </w:num>
  <w:num w:numId="9" w16cid:durableId="1929848961">
    <w:abstractNumId w:val="5"/>
  </w:num>
  <w:num w:numId="10" w16cid:durableId="2108231550">
    <w:abstractNumId w:val="10"/>
  </w:num>
  <w:num w:numId="11" w16cid:durableId="1848444305">
    <w:abstractNumId w:val="11"/>
  </w:num>
  <w:num w:numId="12" w16cid:durableId="1883012429">
    <w:abstractNumId w:val="15"/>
  </w:num>
  <w:num w:numId="13" w16cid:durableId="558131103">
    <w:abstractNumId w:val="8"/>
  </w:num>
  <w:num w:numId="14" w16cid:durableId="1303003613">
    <w:abstractNumId w:val="4"/>
  </w:num>
  <w:num w:numId="15" w16cid:durableId="1250390277">
    <w:abstractNumId w:val="7"/>
  </w:num>
  <w:num w:numId="16" w16cid:durableId="1000307440">
    <w:abstractNumId w:val="0"/>
  </w:num>
  <w:num w:numId="17" w16cid:durableId="331374711">
    <w:abstractNumId w:val="1"/>
  </w:num>
  <w:num w:numId="18" w16cid:durableId="457649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0E"/>
    <w:rsid w:val="00000B91"/>
    <w:rsid w:val="00016C7D"/>
    <w:rsid w:val="00033DA9"/>
    <w:rsid w:val="00050DDF"/>
    <w:rsid w:val="00052E24"/>
    <w:rsid w:val="00065217"/>
    <w:rsid w:val="000746A2"/>
    <w:rsid w:val="00075F52"/>
    <w:rsid w:val="00095E1E"/>
    <w:rsid w:val="000A7FA1"/>
    <w:rsid w:val="000B5F98"/>
    <w:rsid w:val="000E201B"/>
    <w:rsid w:val="00107E3D"/>
    <w:rsid w:val="001137CF"/>
    <w:rsid w:val="0012776A"/>
    <w:rsid w:val="001332A3"/>
    <w:rsid w:val="00135893"/>
    <w:rsid w:val="00150F96"/>
    <w:rsid w:val="001767ED"/>
    <w:rsid w:val="00180A75"/>
    <w:rsid w:val="00196D1E"/>
    <w:rsid w:val="001A5350"/>
    <w:rsid w:val="001A5EEA"/>
    <w:rsid w:val="001E3BB3"/>
    <w:rsid w:val="001F1CC3"/>
    <w:rsid w:val="00205676"/>
    <w:rsid w:val="002207F6"/>
    <w:rsid w:val="00231DE7"/>
    <w:rsid w:val="00246650"/>
    <w:rsid w:val="0025382F"/>
    <w:rsid w:val="00266C9D"/>
    <w:rsid w:val="00270861"/>
    <w:rsid w:val="002720E4"/>
    <w:rsid w:val="0027211F"/>
    <w:rsid w:val="00273D96"/>
    <w:rsid w:val="002967A2"/>
    <w:rsid w:val="002A0480"/>
    <w:rsid w:val="002B510A"/>
    <w:rsid w:val="002C2711"/>
    <w:rsid w:val="002E2B14"/>
    <w:rsid w:val="002E5F6B"/>
    <w:rsid w:val="002E77CF"/>
    <w:rsid w:val="0030590E"/>
    <w:rsid w:val="00347C59"/>
    <w:rsid w:val="0036132B"/>
    <w:rsid w:val="00385874"/>
    <w:rsid w:val="00386DED"/>
    <w:rsid w:val="003958D0"/>
    <w:rsid w:val="003A48EB"/>
    <w:rsid w:val="003A7423"/>
    <w:rsid w:val="003A7586"/>
    <w:rsid w:val="003B6329"/>
    <w:rsid w:val="003B64FE"/>
    <w:rsid w:val="003C261C"/>
    <w:rsid w:val="003E2A81"/>
    <w:rsid w:val="003E412B"/>
    <w:rsid w:val="003F1CE1"/>
    <w:rsid w:val="003F22B8"/>
    <w:rsid w:val="004039C2"/>
    <w:rsid w:val="0041396F"/>
    <w:rsid w:val="004176BC"/>
    <w:rsid w:val="00432E43"/>
    <w:rsid w:val="004378AE"/>
    <w:rsid w:val="00442402"/>
    <w:rsid w:val="0044248E"/>
    <w:rsid w:val="00471F80"/>
    <w:rsid w:val="0047455C"/>
    <w:rsid w:val="004828EB"/>
    <w:rsid w:val="00483F52"/>
    <w:rsid w:val="004A577B"/>
    <w:rsid w:val="004B7882"/>
    <w:rsid w:val="004B7F20"/>
    <w:rsid w:val="004C446A"/>
    <w:rsid w:val="004D09DE"/>
    <w:rsid w:val="004F4FF0"/>
    <w:rsid w:val="00500DAD"/>
    <w:rsid w:val="005010D9"/>
    <w:rsid w:val="005068DE"/>
    <w:rsid w:val="005154A1"/>
    <w:rsid w:val="00525A48"/>
    <w:rsid w:val="0053312D"/>
    <w:rsid w:val="0054470D"/>
    <w:rsid w:val="00554558"/>
    <w:rsid w:val="0055518C"/>
    <w:rsid w:val="00567CCD"/>
    <w:rsid w:val="0058207F"/>
    <w:rsid w:val="00590D11"/>
    <w:rsid w:val="005A0ABF"/>
    <w:rsid w:val="005A105D"/>
    <w:rsid w:val="005D379B"/>
    <w:rsid w:val="005E66D7"/>
    <w:rsid w:val="005E7853"/>
    <w:rsid w:val="00600557"/>
    <w:rsid w:val="006133BA"/>
    <w:rsid w:val="0062630A"/>
    <w:rsid w:val="006342B0"/>
    <w:rsid w:val="0063782A"/>
    <w:rsid w:val="00645404"/>
    <w:rsid w:val="00647CAA"/>
    <w:rsid w:val="00657FAE"/>
    <w:rsid w:val="006643A6"/>
    <w:rsid w:val="006A40AC"/>
    <w:rsid w:val="006C4428"/>
    <w:rsid w:val="006D655E"/>
    <w:rsid w:val="006E3249"/>
    <w:rsid w:val="00710C04"/>
    <w:rsid w:val="00716CC1"/>
    <w:rsid w:val="007344A7"/>
    <w:rsid w:val="00734C03"/>
    <w:rsid w:val="00736F8F"/>
    <w:rsid w:val="007424BC"/>
    <w:rsid w:val="007529D3"/>
    <w:rsid w:val="007551E9"/>
    <w:rsid w:val="00766483"/>
    <w:rsid w:val="00781F0F"/>
    <w:rsid w:val="00784B3B"/>
    <w:rsid w:val="00786E4D"/>
    <w:rsid w:val="00791186"/>
    <w:rsid w:val="007937AC"/>
    <w:rsid w:val="007A7AAE"/>
    <w:rsid w:val="007B14F5"/>
    <w:rsid w:val="007C6689"/>
    <w:rsid w:val="007D6CCC"/>
    <w:rsid w:val="007D7525"/>
    <w:rsid w:val="007E2B6F"/>
    <w:rsid w:val="007F59A6"/>
    <w:rsid w:val="008413A7"/>
    <w:rsid w:val="00850306"/>
    <w:rsid w:val="0085362F"/>
    <w:rsid w:val="00887645"/>
    <w:rsid w:val="008A3622"/>
    <w:rsid w:val="008A374B"/>
    <w:rsid w:val="008B5CEE"/>
    <w:rsid w:val="008D2D01"/>
    <w:rsid w:val="008D786F"/>
    <w:rsid w:val="008E3463"/>
    <w:rsid w:val="0090656B"/>
    <w:rsid w:val="00932D34"/>
    <w:rsid w:val="00932E89"/>
    <w:rsid w:val="009360A8"/>
    <w:rsid w:val="00937DA4"/>
    <w:rsid w:val="0094118A"/>
    <w:rsid w:val="00941C08"/>
    <w:rsid w:val="0096018E"/>
    <w:rsid w:val="00961427"/>
    <w:rsid w:val="00977B36"/>
    <w:rsid w:val="009808C9"/>
    <w:rsid w:val="0098161C"/>
    <w:rsid w:val="009A2590"/>
    <w:rsid w:val="009B3F82"/>
    <w:rsid w:val="009C34FD"/>
    <w:rsid w:val="009F3178"/>
    <w:rsid w:val="009F7550"/>
    <w:rsid w:val="00A20DCD"/>
    <w:rsid w:val="00A25F7D"/>
    <w:rsid w:val="00A43576"/>
    <w:rsid w:val="00A617DC"/>
    <w:rsid w:val="00A63E21"/>
    <w:rsid w:val="00A64505"/>
    <w:rsid w:val="00A7379D"/>
    <w:rsid w:val="00A82AB0"/>
    <w:rsid w:val="00A8680E"/>
    <w:rsid w:val="00A974A5"/>
    <w:rsid w:val="00AB2588"/>
    <w:rsid w:val="00AB26F5"/>
    <w:rsid w:val="00AC0AFB"/>
    <w:rsid w:val="00AD61E9"/>
    <w:rsid w:val="00AE5559"/>
    <w:rsid w:val="00AF4908"/>
    <w:rsid w:val="00B1581F"/>
    <w:rsid w:val="00B15B40"/>
    <w:rsid w:val="00B34C46"/>
    <w:rsid w:val="00B42690"/>
    <w:rsid w:val="00B65A37"/>
    <w:rsid w:val="00B77683"/>
    <w:rsid w:val="00B867E3"/>
    <w:rsid w:val="00BB3552"/>
    <w:rsid w:val="00BD1FF3"/>
    <w:rsid w:val="00C234C1"/>
    <w:rsid w:val="00C36DDB"/>
    <w:rsid w:val="00C52B1C"/>
    <w:rsid w:val="00C5723C"/>
    <w:rsid w:val="00C603B7"/>
    <w:rsid w:val="00C8210E"/>
    <w:rsid w:val="00CD5DC6"/>
    <w:rsid w:val="00CE3424"/>
    <w:rsid w:val="00CF69BF"/>
    <w:rsid w:val="00CF72EB"/>
    <w:rsid w:val="00D00FAF"/>
    <w:rsid w:val="00D06B4A"/>
    <w:rsid w:val="00D22849"/>
    <w:rsid w:val="00D3133B"/>
    <w:rsid w:val="00D415E1"/>
    <w:rsid w:val="00D41E25"/>
    <w:rsid w:val="00D60FDE"/>
    <w:rsid w:val="00D671D4"/>
    <w:rsid w:val="00D70623"/>
    <w:rsid w:val="00D71CB0"/>
    <w:rsid w:val="00DA70D8"/>
    <w:rsid w:val="00DB01D1"/>
    <w:rsid w:val="00DB0668"/>
    <w:rsid w:val="00DB7F51"/>
    <w:rsid w:val="00DD6F8F"/>
    <w:rsid w:val="00DE392C"/>
    <w:rsid w:val="00DF02C1"/>
    <w:rsid w:val="00DF140C"/>
    <w:rsid w:val="00DF2F23"/>
    <w:rsid w:val="00DF3E4B"/>
    <w:rsid w:val="00DF5A27"/>
    <w:rsid w:val="00DF63A3"/>
    <w:rsid w:val="00DF719C"/>
    <w:rsid w:val="00DF7B80"/>
    <w:rsid w:val="00E115F5"/>
    <w:rsid w:val="00E141AF"/>
    <w:rsid w:val="00E2249E"/>
    <w:rsid w:val="00E447A2"/>
    <w:rsid w:val="00E477D7"/>
    <w:rsid w:val="00E6054B"/>
    <w:rsid w:val="00E82A36"/>
    <w:rsid w:val="00E832F3"/>
    <w:rsid w:val="00E83AD4"/>
    <w:rsid w:val="00E8538D"/>
    <w:rsid w:val="00E87261"/>
    <w:rsid w:val="00E96654"/>
    <w:rsid w:val="00EB5A41"/>
    <w:rsid w:val="00ED0136"/>
    <w:rsid w:val="00ED5683"/>
    <w:rsid w:val="00ED64D1"/>
    <w:rsid w:val="00ED6BD9"/>
    <w:rsid w:val="00EF1543"/>
    <w:rsid w:val="00EF78DE"/>
    <w:rsid w:val="00F33920"/>
    <w:rsid w:val="00F51B35"/>
    <w:rsid w:val="00F7090B"/>
    <w:rsid w:val="00F75CC9"/>
    <w:rsid w:val="00F81D74"/>
    <w:rsid w:val="00FA5609"/>
    <w:rsid w:val="00FC0658"/>
    <w:rsid w:val="00FD203C"/>
    <w:rsid w:val="00FE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426F7"/>
  <w15:chartTrackingRefBased/>
  <w15:docId w15:val="{B2925C3A-29B5-43AF-8370-932B09CC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27"/>
    <w:pPr>
      <w:spacing w:after="0" w:line="240" w:lineRule="auto"/>
    </w:pPr>
    <w:rPr>
      <w:rFonts w:eastAsia="PMingLiU" w:cs="Times New Roman"/>
      <w:kern w:val="0"/>
      <w:sz w:val="22"/>
      <w:szCs w:val="22"/>
      <w:lang w:val="nb-NO" w:eastAsia="nb-NO"/>
      <w14:ligatures w14:val="none"/>
    </w:rPr>
  </w:style>
  <w:style w:type="paragraph" w:styleId="Overskrift1">
    <w:name w:val="heading 1"/>
    <w:basedOn w:val="Normal"/>
    <w:next w:val="Normal"/>
    <w:link w:val="Overskrift1Tegn"/>
    <w:uiPriority w:val="9"/>
    <w:qFormat/>
    <w:rsid w:val="004D0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D0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D09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D09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D09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D09D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09D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09D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09DE"/>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D09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D09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D09D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D09D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D09D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D09DE"/>
    <w:rPr>
      <w:rFonts w:eastAsiaTheme="majorEastAsia" w:cstheme="majorBidi"/>
      <w:i/>
      <w:iCs/>
      <w:color w:val="595959" w:themeColor="text1" w:themeTint="A6"/>
      <w:kern w:val="0"/>
      <w:sz w:val="22"/>
      <w:szCs w:val="22"/>
      <w:lang w:val="nb-NO" w:eastAsia="nb-NO"/>
      <w14:ligatures w14:val="none"/>
    </w:rPr>
  </w:style>
  <w:style w:type="character" w:customStyle="1" w:styleId="Overskrift7Tegn">
    <w:name w:val="Overskrift 7 Tegn"/>
    <w:basedOn w:val="Standardskriftforavsnitt"/>
    <w:link w:val="Overskrift7"/>
    <w:uiPriority w:val="9"/>
    <w:semiHidden/>
    <w:rsid w:val="004D09DE"/>
    <w:rPr>
      <w:rFonts w:eastAsiaTheme="majorEastAsia" w:cstheme="majorBidi"/>
      <w:color w:val="595959" w:themeColor="text1" w:themeTint="A6"/>
      <w:kern w:val="0"/>
      <w:sz w:val="22"/>
      <w:szCs w:val="22"/>
      <w:lang w:val="nb-NO" w:eastAsia="nb-NO"/>
      <w14:ligatures w14:val="none"/>
    </w:rPr>
  </w:style>
  <w:style w:type="character" w:customStyle="1" w:styleId="Overskrift8Tegn">
    <w:name w:val="Overskrift 8 Tegn"/>
    <w:basedOn w:val="Standardskriftforavsnitt"/>
    <w:link w:val="Overskrift8"/>
    <w:uiPriority w:val="9"/>
    <w:semiHidden/>
    <w:rsid w:val="004D09DE"/>
    <w:rPr>
      <w:rFonts w:eastAsiaTheme="majorEastAsia" w:cstheme="majorBidi"/>
      <w:i/>
      <w:iCs/>
      <w:color w:val="272727" w:themeColor="text1" w:themeTint="D8"/>
      <w:kern w:val="0"/>
      <w:sz w:val="22"/>
      <w:szCs w:val="22"/>
      <w:lang w:val="nb-NO" w:eastAsia="nb-NO"/>
      <w14:ligatures w14:val="none"/>
    </w:rPr>
  </w:style>
  <w:style w:type="character" w:customStyle="1" w:styleId="Overskrift9Tegn">
    <w:name w:val="Overskrift 9 Tegn"/>
    <w:basedOn w:val="Standardskriftforavsnitt"/>
    <w:link w:val="Overskrift9"/>
    <w:uiPriority w:val="9"/>
    <w:semiHidden/>
    <w:rsid w:val="004D09DE"/>
    <w:rPr>
      <w:rFonts w:eastAsiaTheme="majorEastAsia" w:cstheme="majorBidi"/>
      <w:color w:val="272727" w:themeColor="text1" w:themeTint="D8"/>
      <w:kern w:val="0"/>
      <w:sz w:val="22"/>
      <w:szCs w:val="22"/>
      <w:lang w:val="nb-NO" w:eastAsia="nb-NO"/>
      <w14:ligatures w14:val="none"/>
    </w:rPr>
  </w:style>
  <w:style w:type="paragraph" w:styleId="Tittel">
    <w:name w:val="Title"/>
    <w:basedOn w:val="Normal"/>
    <w:next w:val="Normal"/>
    <w:link w:val="TittelTegn"/>
    <w:uiPriority w:val="10"/>
    <w:qFormat/>
    <w:rsid w:val="004D09DE"/>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D09DE"/>
    <w:rPr>
      <w:rFonts w:asciiTheme="majorHAnsi" w:eastAsiaTheme="majorEastAsia" w:hAnsiTheme="majorHAnsi" w:cstheme="majorBidi"/>
      <w:spacing w:val="-10"/>
      <w:kern w:val="28"/>
      <w:sz w:val="56"/>
      <w:szCs w:val="56"/>
      <w:lang w:val="nb-NO" w:eastAsia="nb-NO"/>
      <w14:ligatures w14:val="none"/>
    </w:rPr>
  </w:style>
  <w:style w:type="paragraph" w:styleId="Undertittel">
    <w:name w:val="Subtitle"/>
    <w:basedOn w:val="Normal"/>
    <w:next w:val="Normal"/>
    <w:link w:val="UndertittelTegn"/>
    <w:uiPriority w:val="11"/>
    <w:qFormat/>
    <w:rsid w:val="004D09D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D09D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D09D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D09DE"/>
    <w:rPr>
      <w:i/>
      <w:iCs/>
      <w:color w:val="404040" w:themeColor="text1" w:themeTint="BF"/>
    </w:rPr>
  </w:style>
  <w:style w:type="paragraph" w:styleId="Listeavsnitt">
    <w:name w:val="List Paragraph"/>
    <w:basedOn w:val="Normal"/>
    <w:uiPriority w:val="34"/>
    <w:qFormat/>
    <w:rsid w:val="004D09DE"/>
    <w:pPr>
      <w:ind w:left="720"/>
      <w:contextualSpacing/>
    </w:pPr>
  </w:style>
  <w:style w:type="character" w:styleId="Sterkutheving">
    <w:name w:val="Intense Emphasis"/>
    <w:basedOn w:val="Standardskriftforavsnitt"/>
    <w:uiPriority w:val="21"/>
    <w:qFormat/>
    <w:rsid w:val="004D09DE"/>
    <w:rPr>
      <w:i/>
      <w:iCs/>
      <w:color w:val="0F4761" w:themeColor="accent1" w:themeShade="BF"/>
    </w:rPr>
  </w:style>
  <w:style w:type="paragraph" w:styleId="Sterktsitat">
    <w:name w:val="Intense Quote"/>
    <w:basedOn w:val="Normal"/>
    <w:next w:val="Normal"/>
    <w:link w:val="SterktsitatTegn"/>
    <w:uiPriority w:val="30"/>
    <w:qFormat/>
    <w:rsid w:val="004D0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D09DE"/>
    <w:rPr>
      <w:i/>
      <w:iCs/>
      <w:color w:val="0F4761" w:themeColor="accent1" w:themeShade="BF"/>
    </w:rPr>
  </w:style>
  <w:style w:type="character" w:styleId="Sterkreferanse">
    <w:name w:val="Intense Reference"/>
    <w:basedOn w:val="Standardskriftforavsnitt"/>
    <w:uiPriority w:val="32"/>
    <w:qFormat/>
    <w:rsid w:val="004D09DE"/>
    <w:rPr>
      <w:b/>
      <w:bCs/>
      <w:smallCaps/>
      <w:color w:val="0F4761" w:themeColor="accent1" w:themeShade="BF"/>
      <w:spacing w:val="5"/>
    </w:rPr>
  </w:style>
  <w:style w:type="character" w:styleId="Hyperkobling">
    <w:name w:val="Hyperlink"/>
    <w:basedOn w:val="Standardskriftforavsnitt"/>
    <w:unhideWhenUsed/>
    <w:rsid w:val="00471F80"/>
    <w:rPr>
      <w:color w:val="467886" w:themeColor="hyperlink"/>
      <w:u w:val="single"/>
    </w:rPr>
  </w:style>
  <w:style w:type="paragraph" w:styleId="Topptekst">
    <w:name w:val="header"/>
    <w:basedOn w:val="Normal"/>
    <w:link w:val="TopptekstTegn"/>
    <w:uiPriority w:val="99"/>
    <w:unhideWhenUsed/>
    <w:rsid w:val="00471F80"/>
    <w:pPr>
      <w:tabs>
        <w:tab w:val="center" w:pos="4680"/>
        <w:tab w:val="right" w:pos="9360"/>
      </w:tabs>
    </w:pPr>
  </w:style>
  <w:style w:type="character" w:customStyle="1" w:styleId="TopptekstTegn">
    <w:name w:val="Topptekst Tegn"/>
    <w:basedOn w:val="Standardskriftforavsnitt"/>
    <w:link w:val="Topptekst"/>
    <w:uiPriority w:val="99"/>
    <w:rsid w:val="00471F80"/>
    <w:rPr>
      <w:rFonts w:eastAsia="PMingLiU" w:cs="Times New Roman"/>
      <w:kern w:val="0"/>
      <w:sz w:val="22"/>
      <w:szCs w:val="22"/>
      <w:lang w:val="nb-NO" w:eastAsia="nb-NO"/>
      <w14:ligatures w14:val="none"/>
    </w:rPr>
  </w:style>
  <w:style w:type="paragraph" w:styleId="Bunntekst">
    <w:name w:val="footer"/>
    <w:basedOn w:val="Normal"/>
    <w:link w:val="BunntekstTegn"/>
    <w:uiPriority w:val="99"/>
    <w:unhideWhenUsed/>
    <w:rsid w:val="00471F80"/>
    <w:pPr>
      <w:tabs>
        <w:tab w:val="center" w:pos="4680"/>
        <w:tab w:val="right" w:pos="9360"/>
      </w:tabs>
    </w:pPr>
  </w:style>
  <w:style w:type="character" w:customStyle="1" w:styleId="BunntekstTegn">
    <w:name w:val="Bunntekst Tegn"/>
    <w:basedOn w:val="Standardskriftforavsnitt"/>
    <w:link w:val="Bunntekst"/>
    <w:uiPriority w:val="99"/>
    <w:rsid w:val="00471F80"/>
    <w:rPr>
      <w:rFonts w:eastAsia="PMingLiU" w:cs="Times New Roman"/>
      <w:kern w:val="0"/>
      <w:sz w:val="22"/>
      <w:szCs w:val="22"/>
      <w:lang w:val="nb-NO" w:eastAsia="nb-NO"/>
      <w14:ligatures w14:val="none"/>
    </w:rPr>
  </w:style>
  <w:style w:type="character" w:styleId="Ulstomtale">
    <w:name w:val="Unresolved Mention"/>
    <w:basedOn w:val="Standardskriftforavsnitt"/>
    <w:uiPriority w:val="99"/>
    <w:semiHidden/>
    <w:unhideWhenUsed/>
    <w:rsid w:val="00385874"/>
    <w:rPr>
      <w:color w:val="605E5C"/>
      <w:shd w:val="clear" w:color="auto" w:fill="E1DFDD"/>
    </w:rPr>
  </w:style>
  <w:style w:type="table" w:styleId="Tabellrutenett">
    <w:name w:val="Table Grid"/>
    <w:basedOn w:val="Vanligtabell"/>
    <w:uiPriority w:val="39"/>
    <w:rsid w:val="002E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DF5A27"/>
    <w:rPr>
      <w:b/>
      <w:bCs/>
    </w:rPr>
  </w:style>
  <w:style w:type="character" w:customStyle="1" w:styleId="cf01">
    <w:name w:val="cf01"/>
    <w:basedOn w:val="Standardskriftforavsnitt"/>
    <w:rsid w:val="001A5350"/>
    <w:rPr>
      <w:rFonts w:ascii="Segoe UI" w:hAnsi="Segoe UI" w:cs="Segoe UI" w:hint="default"/>
      <w:sz w:val="18"/>
      <w:szCs w:val="18"/>
    </w:rPr>
  </w:style>
  <w:style w:type="paragraph" w:customStyle="1" w:styleId="pf0">
    <w:name w:val="pf0"/>
    <w:basedOn w:val="Normal"/>
    <w:rsid w:val="001A5350"/>
    <w:pPr>
      <w:spacing w:before="100" w:beforeAutospacing="1" w:after="100" w:afterAutospacing="1"/>
    </w:pPr>
    <w:rPr>
      <w:rFonts w:ascii="Times New Roman" w:eastAsia="Times New Roman" w:hAnsi="Times New Roman"/>
      <w:sz w:val="24"/>
      <w:szCs w:val="24"/>
      <w:lang w:val="en-US" w:eastAsia="en-US"/>
    </w:rPr>
  </w:style>
  <w:style w:type="character" w:customStyle="1" w:styleId="cf21">
    <w:name w:val="cf21"/>
    <w:basedOn w:val="Standardskriftforavsnitt"/>
    <w:rsid w:val="001A5350"/>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ea.info/Immagini/Tirana-Communiqu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hea.info/Upload/Rome_Ministerial_Communiqu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esco.org/sites/default/files/medias/fichiers/2025/08/world-summit-teachers-final-santiago-consensus-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ea.info/Immagini/Tirana-Communique.pdf" TargetMode="External"/><Relationship Id="rId5" Type="http://schemas.openxmlformats.org/officeDocument/2006/relationships/numbering" Target="numbering.xml"/><Relationship Id="rId15" Type="http://schemas.openxmlformats.org/officeDocument/2006/relationships/hyperlink" Target="https://www.un.org/sustainabledevelopment/blog/2024/02/teaching-profession-recommendationsteaching-profession-recommend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ar.eu/kb/es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Roma\Education%20International\ETUCE%20Administration%20-%20Documents\ETUCE%20Templates\Joint%20Templates\ETUCE-EFEE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3106a-cefc-4c83-bfba-f3fc6f1014e4">
      <Terms xmlns="http://schemas.microsoft.com/office/infopath/2007/PartnerControls"/>
    </lcf76f155ced4ddcb4097134ff3c332f>
    <TaxCatchAll xmlns="32a78622-0c39-4849-baa9-a142faed0b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778097CA11674A8309C341289E7496" ma:contentTypeVersion="19" ma:contentTypeDescription="Create a new document." ma:contentTypeScope="" ma:versionID="5d1a2ff78d8bf1e813e5ba06549c5c00">
  <xsd:schema xmlns:xsd="http://www.w3.org/2001/XMLSchema" xmlns:xs="http://www.w3.org/2001/XMLSchema" xmlns:p="http://schemas.microsoft.com/office/2006/metadata/properties" xmlns:ns2="a383106a-cefc-4c83-bfba-f3fc6f1014e4" xmlns:ns3="32a78622-0c39-4849-baa9-a142faed0b9e" targetNamespace="http://schemas.microsoft.com/office/2006/metadata/properties" ma:root="true" ma:fieldsID="2bbfc68ed94c53a507b3f0229daf0126" ns2:_="" ns3:_="">
    <xsd:import namespace="a383106a-cefc-4c83-bfba-f3fc6f1014e4"/>
    <xsd:import namespace="32a78622-0c39-4849-baa9-a142faed0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3106a-cefc-4c83-bfba-f3fc6f101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b15c82-51ed-4489-a4e3-5cabd2d9842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78622-0c39-4849-baa9-a142faed0b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1f4401-bb05-4db3-bce0-ec14958fd503}" ma:internalName="TaxCatchAll" ma:showField="CatchAllData" ma:web="32a78622-0c39-4849-baa9-a142faed0b9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31BE1-E102-4444-8B6D-A9FC2C9F0F45}">
  <ds:schemaRefs>
    <ds:schemaRef ds:uri="http://schemas.microsoft.com/office/2006/metadata/properties"/>
    <ds:schemaRef ds:uri="http://schemas.microsoft.com/office/infopath/2007/PartnerControls"/>
    <ds:schemaRef ds:uri="a383106a-cefc-4c83-bfba-f3fc6f1014e4"/>
    <ds:schemaRef ds:uri="32a78622-0c39-4849-baa9-a142faed0b9e"/>
  </ds:schemaRefs>
</ds:datastoreItem>
</file>

<file path=customXml/itemProps2.xml><?xml version="1.0" encoding="utf-8"?>
<ds:datastoreItem xmlns:ds="http://schemas.openxmlformats.org/officeDocument/2006/customXml" ds:itemID="{315CF23F-37DB-4CE0-8149-A4A6D3E68334}">
  <ds:schemaRefs>
    <ds:schemaRef ds:uri="http://schemas.microsoft.com/sharepoint/v3/contenttype/forms"/>
  </ds:schemaRefs>
</ds:datastoreItem>
</file>

<file path=customXml/itemProps3.xml><?xml version="1.0" encoding="utf-8"?>
<ds:datastoreItem xmlns:ds="http://schemas.openxmlformats.org/officeDocument/2006/customXml" ds:itemID="{39808C81-94E4-4A3C-ACB1-17C308968BFE}">
  <ds:schemaRefs>
    <ds:schemaRef ds:uri="http://schemas.openxmlformats.org/officeDocument/2006/bibliography"/>
  </ds:schemaRefs>
</ds:datastoreItem>
</file>

<file path=customXml/itemProps4.xml><?xml version="1.0" encoding="utf-8"?>
<ds:datastoreItem xmlns:ds="http://schemas.openxmlformats.org/officeDocument/2006/customXml" ds:itemID="{7B135F0B-9740-4B6C-B553-665A76973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3106a-cefc-4c83-bfba-f3fc6f1014e4"/>
    <ds:schemaRef ds:uri="32a78622-0c39-4849-baa9-a142faed0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3a1112-1c21-4a71-9603-c587eb32b384}" enabled="0" method="" siteId="{e83a1112-1c21-4a71-9603-c587eb32b384}" removed="1"/>
</clbl:labelList>
</file>

<file path=docProps/app.xml><?xml version="1.0" encoding="utf-8"?>
<Properties xmlns="http://schemas.openxmlformats.org/officeDocument/2006/extended-properties" xmlns:vt="http://schemas.openxmlformats.org/officeDocument/2006/docPropsVTypes">
  <Template>ETUCE-EFEE_Letterhead</Template>
  <TotalTime>2</TotalTime>
  <Pages>3</Pages>
  <Words>1220</Words>
  <Characters>6750</Characters>
  <Application>Microsoft Office Word</Application>
  <DocSecurity>0</DocSecurity>
  <Lines>675</Lines>
  <Paragraphs>468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Roman</dc:creator>
  <cp:keywords/>
  <dc:description/>
  <cp:lastModifiedBy>Ole Espen Rakkestad</cp:lastModifiedBy>
  <cp:revision>3</cp:revision>
  <cp:lastPrinted>2026-05-20T10:18:00Z</cp:lastPrinted>
  <dcterms:created xsi:type="dcterms:W3CDTF">2026-05-20T10:28:00Z</dcterms:created>
  <dcterms:modified xsi:type="dcterms:W3CDTF">2026-05-20T10:29:00Z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0x01010063778097CA11674A8309C341289E7496</vt:lpwstr>
  </property>
</Properties>
</file>